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b/>
          <w:bCs/>
          <w:sz w:val="28"/>
          <w:szCs w:val="24"/>
        </w:rPr>
      </w:pPr>
      <w:bookmarkStart w:id="36" w:name="_GoBack"/>
      <w:bookmarkEnd w:id="36"/>
      <w:r>
        <w:rPr>
          <w:rFonts w:hint="eastAsia"/>
          <w:b/>
          <w:bCs/>
          <w:sz w:val="28"/>
          <w:szCs w:val="24"/>
        </w:rPr>
        <w:t>凯旋单元FG25-R21-18地块景芳拆迁安置房及西侧G1-35B公园绿地工程（原杭州景芳加油站）地块修复方案-公示信息</w:t>
      </w:r>
    </w:p>
    <w:p>
      <w:pPr>
        <w:ind w:firstLine="480" w:firstLineChars="200"/>
      </w:pPr>
      <w:r>
        <w:rPr>
          <w:rFonts w:hint="eastAsia"/>
        </w:rPr>
        <w:t>根据招标文件资料原杭州景芳加油站位于杭州市秋涛北路86号，占地面积约2000 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，建筑面积约527 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，为二级加油站，主要从事柴油、汽油等成品油经营。原加油站内油罐区内设6台油罐（5台常用，1台停用），其中5台常用油罐规格，分别为1台30 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0#柴油埋地卧式油罐、1台20 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0#柴油埋地卧式油罐、2台30 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92#汽油埋地卧式油罐、1台30m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95#汽油埋地卧式油罐，按柴油罐容器折半计入油罐总容积，贮罐总容积115 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（不含停用油罐）。该加油站于2017年11月停用，2018年4月拆除。</w:t>
      </w:r>
    </w:p>
    <w:p>
      <w:pPr>
        <w:ind w:firstLine="480" w:firstLineChars="200"/>
      </w:pPr>
      <w:r>
        <w:rPr>
          <w:rFonts w:hint="eastAsia"/>
        </w:rPr>
        <w:t>根据《风评报告》，原杭州景芳加油站地块范围内土壤中苯，以及地下水中乙苯、石油烃C</w:t>
      </w:r>
      <w:r>
        <w:rPr>
          <w:rFonts w:hint="eastAsia"/>
          <w:vertAlign w:val="subscript"/>
        </w:rPr>
        <w:t>6</w:t>
      </w:r>
      <w:r>
        <w:rPr>
          <w:rFonts w:hint="eastAsia"/>
        </w:rPr>
        <w:t>-C</w:t>
      </w:r>
      <w:r>
        <w:rPr>
          <w:rFonts w:hint="eastAsia"/>
          <w:vertAlign w:val="subscript"/>
        </w:rPr>
        <w:t>9</w:t>
      </w:r>
      <w:r>
        <w:rPr>
          <w:rFonts w:hint="eastAsia"/>
        </w:rPr>
        <w:t>、石油烃C</w:t>
      </w:r>
      <w:r>
        <w:rPr>
          <w:rFonts w:hint="eastAsia"/>
          <w:vertAlign w:val="subscript"/>
        </w:rPr>
        <w:t>10</w:t>
      </w:r>
      <w:r>
        <w:rPr>
          <w:rFonts w:hint="eastAsia"/>
        </w:rPr>
        <w:t>-C</w:t>
      </w:r>
      <w:r>
        <w:rPr>
          <w:rFonts w:hint="eastAsia"/>
          <w:vertAlign w:val="subscript"/>
        </w:rPr>
        <w:t>16</w:t>
      </w:r>
      <w:r>
        <w:rPr>
          <w:rFonts w:hint="eastAsia"/>
        </w:rPr>
        <w:t>超过住宅及公共用地规划下的人体健康风险，需要对场地土壤及地下水进行修复治理。</w:t>
      </w:r>
    </w:p>
    <w:p>
      <w:pPr>
        <w:ind w:firstLine="480" w:firstLineChars="200"/>
      </w:pPr>
      <w:r>
        <w:rPr>
          <w:rFonts w:hint="eastAsia"/>
        </w:rPr>
        <w:t>2018年10月，杭州江干区城市建设综合开发有限公司（建设单位）委托欧邦工程管理有限公司发布《凯旋单元FG25-R21-18地块景芳拆迁安置房及西侧G1-35B公园绿地工程（原杭州景芳加油站）土壤修复》招标文件（招标编号：JGCJ-小额交易2018067），要求对该场地污染土壤和地下水进行修复治理。经招标确定中节能大地（杭州）环境修复有限公司为中标单位，负责该地块污染土壤及地下水修复治理工作。</w:t>
      </w:r>
    </w:p>
    <w:p>
      <w:pPr>
        <w:ind w:firstLine="480" w:firstLineChars="200"/>
      </w:pPr>
      <w:r>
        <w:rPr>
          <w:rFonts w:hint="eastAsia"/>
        </w:rPr>
        <w:t>2018年11月，根据我司人员对项目场地踏勘以及招标资料详细分析和研究，编制本项目修复方案，</w:t>
      </w:r>
      <w:r>
        <w:rPr>
          <w:rFonts w:hint="eastAsia"/>
          <w:szCs w:val="24"/>
        </w:rPr>
        <w:t>并于</w:t>
      </w:r>
      <w:r>
        <w:rPr>
          <w:szCs w:val="24"/>
        </w:rPr>
        <w:t>2018</w:t>
      </w:r>
      <w:r>
        <w:rPr>
          <w:rFonts w:hint="eastAsia"/>
          <w:szCs w:val="24"/>
        </w:rPr>
        <w:t>年</w:t>
      </w:r>
      <w:r>
        <w:rPr>
          <w:szCs w:val="24"/>
        </w:rPr>
        <w:t>12</w:t>
      </w:r>
      <w:r>
        <w:rPr>
          <w:rFonts w:hint="eastAsia"/>
          <w:szCs w:val="24"/>
        </w:rPr>
        <w:t>月</w:t>
      </w:r>
      <w:r>
        <w:rPr>
          <w:szCs w:val="24"/>
        </w:rPr>
        <w:t>4</w:t>
      </w:r>
      <w:r>
        <w:rPr>
          <w:rFonts w:hint="eastAsia"/>
          <w:szCs w:val="24"/>
        </w:rPr>
        <w:t>日组织了方案评审，专家咨询意见如下。</w:t>
      </w:r>
    </w:p>
    <w:p>
      <w:pPr>
        <w:rPr>
          <w:rFonts w:hint="eastAsia"/>
        </w:rPr>
      </w:pPr>
    </w:p>
    <w:p>
      <w:pPr>
        <w:ind w:firstLine="480" w:firstLineChars="200"/>
      </w:pPr>
      <w:r>
        <w:drawing>
          <wp:inline distT="0" distB="0" distL="0" distR="0">
            <wp:extent cx="5274310" cy="7258685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pageBreakBefore/>
      </w:pPr>
      <w:bookmarkStart w:id="0" w:name="_Toc5714417"/>
      <w:bookmarkStart w:id="1" w:name="_Toc528920674"/>
      <w:r>
        <w:rPr>
          <w:rFonts w:hint="eastAsia"/>
        </w:rPr>
        <w:t>项目概况</w:t>
      </w:r>
      <w:bookmarkEnd w:id="0"/>
      <w:bookmarkEnd w:id="1"/>
    </w:p>
    <w:p>
      <w:pPr>
        <w:pStyle w:val="3"/>
      </w:pPr>
      <w:bookmarkStart w:id="2" w:name="_Toc5714418"/>
      <w:r>
        <w:rPr>
          <w:rFonts w:hint="eastAsia"/>
        </w:rPr>
        <w:t>场地地理位置</w:t>
      </w:r>
      <w:bookmarkEnd w:id="2"/>
    </w:p>
    <w:p>
      <w:pPr>
        <w:ind w:firstLine="480"/>
      </w:pPr>
      <w:r>
        <w:rPr>
          <w:rFonts w:hint="eastAsia"/>
        </w:rPr>
        <w:t>本项目地块为原杭州景芳加油站用地，位于杭州市江干区秋涛北路86号，厂区占地面积约2000 m</w:t>
      </w:r>
      <w:r>
        <w:rPr>
          <w:vertAlign w:val="superscript"/>
        </w:rPr>
        <w:t>2</w:t>
      </w:r>
      <w:r>
        <w:rPr>
          <w:rFonts w:hint="eastAsia"/>
        </w:rPr>
        <w:t>，建筑面积约527 m</w:t>
      </w:r>
      <w:r>
        <w:rPr>
          <w:vertAlign w:val="superscript"/>
        </w:rPr>
        <w:t>2</w:t>
      </w:r>
      <w:r>
        <w:rPr>
          <w:rFonts w:hint="eastAsia"/>
        </w:rPr>
        <w:t>，为二级加油站，主要从事柴油、汽油等成品油经营。</w:t>
      </w:r>
    </w:p>
    <w:p>
      <w:pPr>
        <w:pStyle w:val="3"/>
      </w:pPr>
      <w:bookmarkStart w:id="3" w:name="_Toc5714427"/>
      <w:r>
        <w:rPr>
          <w:rFonts w:hint="eastAsia"/>
        </w:rPr>
        <w:t>场地现状</w:t>
      </w:r>
      <w:bookmarkEnd w:id="3"/>
    </w:p>
    <w:p>
      <w:pPr>
        <w:ind w:firstLine="480"/>
      </w:pPr>
      <w:r>
        <w:t>本场地</w:t>
      </w:r>
      <w:r>
        <w:rPr>
          <w:rFonts w:hint="eastAsia"/>
        </w:rPr>
        <w:t>地面建筑物如</w:t>
      </w:r>
      <w:r>
        <w:t>办公楼、加油岛等均已拆除，储罐区</w:t>
      </w:r>
      <w:r>
        <w:rPr>
          <w:rFonts w:hint="eastAsia"/>
        </w:rPr>
        <w:t>储罐及</w:t>
      </w:r>
      <w:r>
        <w:t>地下管线已拆除运走。前期</w:t>
      </w:r>
      <w:r>
        <w:rPr>
          <w:rFonts w:hint="eastAsia"/>
        </w:rPr>
        <w:t>现场遗留</w:t>
      </w:r>
      <w:r>
        <w:t>的建筑垃圾，已由建设单位委托</w:t>
      </w:r>
      <w:r>
        <w:rPr>
          <w:rFonts w:hint="eastAsia"/>
        </w:rPr>
        <w:t>施工单位</w:t>
      </w:r>
      <w:r>
        <w:t>清理干净</w:t>
      </w:r>
      <w:r>
        <w:rPr>
          <w:rFonts w:hint="eastAsia"/>
        </w:rPr>
        <w:t>，</w:t>
      </w:r>
      <w:r>
        <w:t>目前现场</w:t>
      </w:r>
      <w:r>
        <w:rPr>
          <w:rFonts w:hint="eastAsia"/>
        </w:rPr>
        <w:t>较为</w:t>
      </w:r>
      <w:r>
        <w:t>平整</w:t>
      </w:r>
      <w:r>
        <w:rPr>
          <w:rFonts w:hint="eastAsia"/>
        </w:rPr>
        <w:t>，整个场地撒上草籽，并覆盖绿色防尘网。</w:t>
      </w:r>
    </w:p>
    <w:p>
      <w:pPr>
        <w:pStyle w:val="3"/>
      </w:pPr>
      <w:bookmarkStart w:id="4" w:name="_Toc5714428"/>
      <w:r>
        <w:rPr>
          <w:rFonts w:hint="eastAsia"/>
        </w:rPr>
        <w:t>场地规划</w:t>
      </w:r>
      <w:bookmarkEnd w:id="4"/>
    </w:p>
    <w:p>
      <w:pPr>
        <w:ind w:firstLine="480" w:firstLineChars="200"/>
      </w:pPr>
      <w:r>
        <w:rPr>
          <w:rFonts w:hint="eastAsia"/>
        </w:rPr>
        <w:t>根据项目招标文件提供的资料，本场地后期用地规划为住宅用地和绿化用地。</w:t>
      </w:r>
      <w:r>
        <w:t xml:space="preserve"> </w:t>
      </w:r>
    </w:p>
    <w:p>
      <w:pPr>
        <w:pStyle w:val="2"/>
        <w:pageBreakBefore/>
      </w:pPr>
      <w:bookmarkStart w:id="5" w:name="_Toc5714436"/>
      <w:bookmarkStart w:id="6" w:name="_Toc528920675"/>
      <w:r>
        <w:rPr>
          <w:rFonts w:hint="eastAsia"/>
        </w:rPr>
        <w:t>修复技术方案</w:t>
      </w:r>
      <w:bookmarkEnd w:id="5"/>
      <w:bookmarkEnd w:id="6"/>
    </w:p>
    <w:p>
      <w:pPr>
        <w:pStyle w:val="3"/>
      </w:pPr>
      <w:bookmarkStart w:id="7" w:name="_Toc5714437"/>
      <w:r>
        <w:rPr>
          <w:rFonts w:hint="eastAsia"/>
        </w:rPr>
        <w:t>污染信息</w:t>
      </w:r>
      <w:bookmarkEnd w:id="7"/>
    </w:p>
    <w:p>
      <w:pPr>
        <w:ind w:firstLine="480"/>
        <w:rPr>
          <w:color w:val="000000"/>
        </w:rPr>
      </w:pPr>
      <w:r>
        <w:rPr>
          <w:rFonts w:hint="eastAsia"/>
        </w:rPr>
        <w:t>根据</w:t>
      </w:r>
      <w:r>
        <w:rPr>
          <w:rFonts w:hint="eastAsia"/>
          <w:color w:val="000000"/>
        </w:rPr>
        <w:t>对</w:t>
      </w:r>
      <w:r>
        <w:rPr>
          <w:color w:val="000000"/>
        </w:rPr>
        <w:t>景芳加油站场地进行场地环境详细调查和风险评估</w:t>
      </w:r>
      <w:r>
        <w:rPr>
          <w:rFonts w:hint="eastAsia"/>
          <w:color w:val="000000"/>
        </w:rPr>
        <w:t>，</w:t>
      </w:r>
      <w:r>
        <w:rPr>
          <w:rFonts w:hint="eastAsia"/>
        </w:rPr>
        <w:t>确定</w:t>
      </w:r>
      <w:r>
        <w:t>土壤中关注污染物</w:t>
      </w:r>
      <w:r>
        <w:rPr>
          <w:rFonts w:hint="eastAsia"/>
        </w:rPr>
        <w:t>苯超过</w:t>
      </w:r>
      <w:r>
        <w:t>人体健康风险可接受水平，</w:t>
      </w:r>
      <w:r>
        <w:rPr>
          <w:rFonts w:hint="eastAsia"/>
        </w:rPr>
        <w:t>以及</w:t>
      </w:r>
      <w:r>
        <w:t>地下水中</w:t>
      </w:r>
      <w:r>
        <w:rPr>
          <w:rFonts w:hint="eastAsia"/>
        </w:rPr>
        <w:t>乙苯、石油烃</w:t>
      </w:r>
      <w:r>
        <w:t>C</w:t>
      </w:r>
      <w:r>
        <w:rPr>
          <w:vertAlign w:val="subscript"/>
        </w:rPr>
        <w:t>6</w:t>
      </w:r>
      <w:r>
        <w:t>-C</w:t>
      </w:r>
      <w:r>
        <w:rPr>
          <w:vertAlign w:val="subscript"/>
        </w:rPr>
        <w:t>9</w:t>
      </w:r>
      <w:r>
        <w:rPr>
          <w:rFonts w:hint="eastAsia"/>
        </w:rPr>
        <w:t>、石油烃</w:t>
      </w:r>
      <w:r>
        <w:t>C</w:t>
      </w:r>
      <w:r>
        <w:rPr>
          <w:vertAlign w:val="subscript"/>
        </w:rPr>
        <w:t>10</w:t>
      </w:r>
      <w:r>
        <w:t>-C</w:t>
      </w:r>
      <w:r>
        <w:rPr>
          <w:vertAlign w:val="subscript"/>
        </w:rPr>
        <w:t>16</w:t>
      </w:r>
      <w:r>
        <w:t>超过人体健康风险可接受水平</w:t>
      </w:r>
      <w:r>
        <w:rPr>
          <w:rFonts w:hint="eastAsia"/>
        </w:rPr>
        <w:t>，需要开展场地修复治理工作</w:t>
      </w:r>
      <w:r>
        <w:t>。</w:t>
      </w:r>
    </w:p>
    <w:p>
      <w:pPr>
        <w:pStyle w:val="3"/>
      </w:pPr>
      <w:bookmarkStart w:id="8" w:name="_Toc5714438"/>
      <w:r>
        <w:rPr>
          <w:rFonts w:hint="eastAsia"/>
        </w:rPr>
        <w:t>修复目标</w:t>
      </w:r>
      <w:bookmarkEnd w:id="8"/>
    </w:p>
    <w:p>
      <w:pPr>
        <w:pStyle w:val="4"/>
      </w:pPr>
      <w:bookmarkStart w:id="9" w:name="_Toc5714439"/>
      <w:r>
        <w:rPr>
          <w:rFonts w:hint="eastAsia"/>
        </w:rPr>
        <w:t>土壤修复目标值</w:t>
      </w:r>
      <w:bookmarkEnd w:id="9"/>
    </w:p>
    <w:p>
      <w:pPr>
        <w:ind w:firstLine="480" w:firstLineChars="200"/>
      </w:pPr>
      <w:r>
        <w:t>根据调查及风险评估</w:t>
      </w:r>
      <w:r>
        <w:rPr>
          <w:rFonts w:hint="eastAsia"/>
        </w:rPr>
        <w:t>结果</w:t>
      </w:r>
      <w:r>
        <w:t>，本场地需修复的土壤污染物为</w:t>
      </w:r>
      <w:r>
        <w:rPr>
          <w:rFonts w:hint="eastAsia"/>
        </w:rPr>
        <w:t>：苯。</w:t>
      </w:r>
    </w:p>
    <w:p>
      <w:pPr>
        <w:pStyle w:val="8"/>
        <w:jc w:val="center"/>
        <w:rPr>
          <w:rFonts w:ascii="Times New Roman" w:hAnsi="Times New Roman" w:eastAsia="宋体"/>
          <w:b/>
          <w:sz w:val="21"/>
          <w:szCs w:val="21"/>
        </w:rPr>
      </w:pPr>
      <w:r>
        <w:rPr>
          <w:rFonts w:hint="eastAsia" w:ascii="Times New Roman" w:hAnsi="Times New Roman" w:eastAsia="宋体"/>
          <w:b/>
          <w:sz w:val="21"/>
          <w:szCs w:val="21"/>
        </w:rPr>
        <w:t xml:space="preserve">表 </w:t>
      </w:r>
      <w:r>
        <w:rPr>
          <w:rFonts w:ascii="Times New Roman" w:hAnsi="Times New Roman" w:eastAsia="宋体"/>
          <w:b/>
          <w:sz w:val="21"/>
          <w:szCs w:val="21"/>
        </w:rPr>
        <w:t>2</w:t>
      </w:r>
      <w:r>
        <w:rPr>
          <w:rFonts w:ascii="Times New Roman" w:hAnsi="Times New Roman" w:eastAsia="宋体"/>
          <w:b/>
          <w:sz w:val="21"/>
          <w:szCs w:val="21"/>
        </w:rPr>
        <w:noBreakHyphen/>
      </w:r>
      <w:r>
        <w:rPr>
          <w:rFonts w:ascii="Times New Roman" w:hAnsi="Times New Roman" w:eastAsia="宋体"/>
          <w:b/>
          <w:sz w:val="21"/>
          <w:szCs w:val="21"/>
        </w:rPr>
        <w:t>1</w:t>
      </w:r>
      <w:r>
        <w:rPr>
          <w:rFonts w:hint="eastAsia" w:ascii="Times New Roman" w:hAnsi="Times New Roman" w:eastAsia="宋体"/>
          <w:b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</w:rPr>
        <w:t>土壤污染修复目标值</w:t>
      </w:r>
    </w:p>
    <w:tbl>
      <w:tblPr>
        <w:tblStyle w:val="2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822"/>
        <w:gridCol w:w="1822"/>
        <w:gridCol w:w="182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  <w:shd w:val="clear" w:color="auto" w:fill="D9D9D9"/>
          </w:tcPr>
          <w:p>
            <w:pPr>
              <w:widowControl w:val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序号</w:t>
            </w:r>
          </w:p>
        </w:tc>
        <w:tc>
          <w:tcPr>
            <w:tcW w:w="1069" w:type="pct"/>
            <w:shd w:val="clear" w:color="auto" w:fill="D9D9D9"/>
          </w:tcPr>
          <w:p>
            <w:pPr>
              <w:widowControl w:val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污染因子</w:t>
            </w:r>
          </w:p>
        </w:tc>
        <w:tc>
          <w:tcPr>
            <w:tcW w:w="1069" w:type="pct"/>
            <w:shd w:val="clear" w:color="auto" w:fill="D9D9D9"/>
          </w:tcPr>
          <w:p>
            <w:pPr>
              <w:widowControl w:val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单位</w:t>
            </w:r>
          </w:p>
        </w:tc>
        <w:tc>
          <w:tcPr>
            <w:tcW w:w="1069" w:type="pct"/>
            <w:shd w:val="clear" w:color="auto" w:fill="D9D9D9"/>
          </w:tcPr>
          <w:p>
            <w:pPr>
              <w:widowControl w:val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修复目标值</w:t>
            </w:r>
          </w:p>
        </w:tc>
        <w:tc>
          <w:tcPr>
            <w:tcW w:w="1069" w:type="pct"/>
            <w:shd w:val="clear" w:color="auto" w:fill="D9D9D9"/>
          </w:tcPr>
          <w:p>
            <w:pPr>
              <w:widowControl w:val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1069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苯</w:t>
            </w:r>
          </w:p>
        </w:tc>
        <w:tc>
          <w:tcPr>
            <w:tcW w:w="1069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  <w:r>
              <w:rPr>
                <w:sz w:val="21"/>
              </w:rPr>
              <w:t>mg/kg</w:t>
            </w:r>
          </w:p>
        </w:tc>
        <w:tc>
          <w:tcPr>
            <w:tcW w:w="1069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  <w:r>
              <w:rPr>
                <w:sz w:val="21"/>
              </w:rPr>
              <w:t>0.40</w:t>
            </w:r>
          </w:p>
        </w:tc>
        <w:tc>
          <w:tcPr>
            <w:tcW w:w="1069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</w:p>
        </w:tc>
      </w:tr>
    </w:tbl>
    <w:p>
      <w:pPr>
        <w:pStyle w:val="4"/>
      </w:pPr>
      <w:bookmarkStart w:id="10" w:name="_Toc5714440"/>
      <w:r>
        <w:rPr>
          <w:rFonts w:hint="eastAsia"/>
        </w:rPr>
        <w:t>地下水修复目标值</w:t>
      </w:r>
      <w:bookmarkEnd w:id="10"/>
    </w:p>
    <w:p>
      <w:pPr>
        <w:pStyle w:val="8"/>
        <w:ind w:firstLine="480" w:firstLineChars="200"/>
        <w:rPr>
          <w:rFonts w:ascii="Times New Roman" w:hAnsi="Times New Roman" w:eastAsia="宋体" w:cs="Times New Roman"/>
          <w:sz w:val="24"/>
          <w:szCs w:val="22"/>
        </w:rPr>
      </w:pPr>
      <w:r>
        <w:rPr>
          <w:rFonts w:ascii="Times New Roman" w:hAnsi="Times New Roman" w:eastAsia="宋体" w:cs="Times New Roman"/>
          <w:sz w:val="24"/>
          <w:szCs w:val="22"/>
        </w:rPr>
        <w:t>根据调查及风险评估</w:t>
      </w:r>
      <w:r>
        <w:rPr>
          <w:rFonts w:hint="eastAsia" w:ascii="Times New Roman" w:hAnsi="Times New Roman" w:eastAsia="宋体" w:cs="Times New Roman"/>
          <w:sz w:val="24"/>
          <w:szCs w:val="22"/>
        </w:rPr>
        <w:t>结果</w:t>
      </w:r>
      <w:r>
        <w:rPr>
          <w:rFonts w:ascii="Times New Roman" w:hAnsi="Times New Roman" w:eastAsia="宋体" w:cs="Times New Roman"/>
          <w:sz w:val="24"/>
          <w:szCs w:val="22"/>
        </w:rPr>
        <w:t>，本场地需修复的</w:t>
      </w:r>
      <w:r>
        <w:rPr>
          <w:rFonts w:hint="eastAsia" w:ascii="Times New Roman" w:hAnsi="Times New Roman" w:eastAsia="宋体" w:cs="Times New Roman"/>
          <w:sz w:val="24"/>
          <w:szCs w:val="22"/>
        </w:rPr>
        <w:t>地下水</w:t>
      </w:r>
      <w:r>
        <w:rPr>
          <w:rFonts w:ascii="Times New Roman" w:hAnsi="Times New Roman" w:eastAsia="宋体" w:cs="Times New Roman"/>
          <w:sz w:val="24"/>
          <w:szCs w:val="22"/>
        </w:rPr>
        <w:t>污染物分为</w:t>
      </w:r>
      <w:r>
        <w:rPr>
          <w:rFonts w:hint="eastAsia" w:ascii="Times New Roman" w:hAnsi="Times New Roman" w:eastAsia="宋体" w:cs="Times New Roman"/>
          <w:sz w:val="24"/>
          <w:szCs w:val="22"/>
        </w:rPr>
        <w:t>：乙苯、石油烃C</w:t>
      </w:r>
      <w:r>
        <w:rPr>
          <w:rFonts w:ascii="Times New Roman" w:hAnsi="Times New Roman" w:eastAsia="宋体" w:cs="Times New Roman"/>
          <w:sz w:val="24"/>
          <w:szCs w:val="22"/>
          <w:vertAlign w:val="subscript"/>
        </w:rPr>
        <w:t>6</w:t>
      </w:r>
      <w:r>
        <w:rPr>
          <w:rFonts w:hint="eastAsia" w:ascii="Times New Roman" w:hAnsi="Times New Roman" w:eastAsia="宋体" w:cs="Times New Roman"/>
          <w:sz w:val="24"/>
          <w:szCs w:val="22"/>
        </w:rPr>
        <w:t>-C</w:t>
      </w:r>
      <w:r>
        <w:rPr>
          <w:rFonts w:ascii="Times New Roman" w:hAnsi="Times New Roman" w:eastAsia="宋体" w:cs="Times New Roman"/>
          <w:sz w:val="24"/>
          <w:szCs w:val="22"/>
          <w:vertAlign w:val="subscript"/>
        </w:rPr>
        <w:t>9</w:t>
      </w:r>
      <w:r>
        <w:rPr>
          <w:rFonts w:hint="eastAsia" w:ascii="Times New Roman" w:hAnsi="Times New Roman" w:eastAsia="宋体" w:cs="Times New Roman"/>
          <w:sz w:val="24"/>
          <w:szCs w:val="22"/>
        </w:rPr>
        <w:t>、石油烃C</w:t>
      </w:r>
      <w:r>
        <w:rPr>
          <w:rFonts w:ascii="Times New Roman" w:hAnsi="Times New Roman" w:eastAsia="宋体" w:cs="Times New Roman"/>
          <w:sz w:val="24"/>
          <w:szCs w:val="22"/>
          <w:vertAlign w:val="subscript"/>
        </w:rPr>
        <w:t>10</w:t>
      </w:r>
      <w:r>
        <w:rPr>
          <w:rFonts w:hint="eastAsia" w:ascii="Times New Roman" w:hAnsi="Times New Roman" w:eastAsia="宋体" w:cs="Times New Roman"/>
          <w:sz w:val="24"/>
          <w:szCs w:val="22"/>
        </w:rPr>
        <w:t>-C</w:t>
      </w:r>
      <w:r>
        <w:rPr>
          <w:rFonts w:ascii="Times New Roman" w:hAnsi="Times New Roman" w:eastAsia="宋体" w:cs="Times New Roman"/>
          <w:sz w:val="24"/>
          <w:szCs w:val="22"/>
          <w:vertAlign w:val="subscript"/>
        </w:rPr>
        <w:t>16</w:t>
      </w:r>
      <w:r>
        <w:rPr>
          <w:rFonts w:hint="eastAsia" w:ascii="Times New Roman" w:hAnsi="Times New Roman" w:eastAsia="宋体" w:cs="Times New Roman"/>
          <w:sz w:val="24"/>
          <w:szCs w:val="22"/>
        </w:rPr>
        <w:t>。</w:t>
      </w:r>
    </w:p>
    <w:p>
      <w:pPr>
        <w:pStyle w:val="8"/>
        <w:jc w:val="center"/>
        <w:rPr>
          <w:rFonts w:ascii="Times New Roman" w:hAnsi="Times New Roman" w:eastAsia="宋体"/>
          <w:b/>
          <w:sz w:val="21"/>
          <w:szCs w:val="21"/>
        </w:rPr>
      </w:pPr>
      <w:r>
        <w:rPr>
          <w:rFonts w:hint="eastAsia" w:ascii="Times New Roman" w:hAnsi="Times New Roman" w:eastAsia="宋体"/>
          <w:b/>
          <w:sz w:val="21"/>
          <w:szCs w:val="21"/>
        </w:rPr>
        <w:t xml:space="preserve">表 </w:t>
      </w:r>
      <w:r>
        <w:rPr>
          <w:rFonts w:ascii="Times New Roman" w:hAnsi="Times New Roman" w:eastAsia="宋体"/>
          <w:b/>
          <w:sz w:val="21"/>
          <w:szCs w:val="21"/>
        </w:rPr>
        <w:t>2</w:t>
      </w:r>
      <w:r>
        <w:rPr>
          <w:rFonts w:ascii="Times New Roman" w:hAnsi="Times New Roman" w:eastAsia="宋体"/>
          <w:b/>
          <w:sz w:val="21"/>
          <w:szCs w:val="21"/>
        </w:rPr>
        <w:noBreakHyphen/>
      </w:r>
      <w:r>
        <w:rPr>
          <w:rFonts w:ascii="Times New Roman" w:hAnsi="Times New Roman" w:eastAsia="宋体"/>
          <w:b/>
          <w:sz w:val="21"/>
          <w:szCs w:val="21"/>
        </w:rPr>
        <w:t>2</w:t>
      </w:r>
      <w:r>
        <w:rPr>
          <w:rFonts w:hint="eastAsia" w:ascii="Times New Roman" w:hAnsi="Times New Roman" w:eastAsia="宋体"/>
          <w:b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</w:rPr>
        <w:t>地下水污染修复目标值</w:t>
      </w:r>
    </w:p>
    <w:tbl>
      <w:tblPr>
        <w:tblStyle w:val="2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822"/>
        <w:gridCol w:w="1822"/>
        <w:gridCol w:w="182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4" w:type="pct"/>
            <w:shd w:val="clear" w:color="auto" w:fill="D9D9D9"/>
          </w:tcPr>
          <w:p>
            <w:pPr>
              <w:widowControl w:val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序号</w:t>
            </w:r>
          </w:p>
        </w:tc>
        <w:tc>
          <w:tcPr>
            <w:tcW w:w="1069" w:type="pct"/>
            <w:shd w:val="clear" w:color="auto" w:fill="D9D9D9"/>
          </w:tcPr>
          <w:p>
            <w:pPr>
              <w:widowControl w:val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污染因子</w:t>
            </w:r>
          </w:p>
        </w:tc>
        <w:tc>
          <w:tcPr>
            <w:tcW w:w="1069" w:type="pct"/>
            <w:shd w:val="clear" w:color="auto" w:fill="D9D9D9"/>
          </w:tcPr>
          <w:p>
            <w:pPr>
              <w:widowControl w:val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单位</w:t>
            </w:r>
          </w:p>
        </w:tc>
        <w:tc>
          <w:tcPr>
            <w:tcW w:w="1069" w:type="pct"/>
            <w:shd w:val="clear" w:color="auto" w:fill="D9D9D9"/>
          </w:tcPr>
          <w:p>
            <w:pPr>
              <w:widowControl w:val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修复目标值</w:t>
            </w:r>
          </w:p>
        </w:tc>
        <w:tc>
          <w:tcPr>
            <w:tcW w:w="1069" w:type="pct"/>
            <w:shd w:val="clear" w:color="auto" w:fill="D9D9D9"/>
          </w:tcPr>
          <w:p>
            <w:pPr>
              <w:widowControl w:val="0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1069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乙苯</w:t>
            </w:r>
          </w:p>
        </w:tc>
        <w:tc>
          <w:tcPr>
            <w:tcW w:w="1069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mg/L</w:t>
            </w:r>
          </w:p>
        </w:tc>
        <w:tc>
          <w:tcPr>
            <w:tcW w:w="1069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  <w:r>
              <w:rPr>
                <w:sz w:val="21"/>
              </w:rPr>
              <w:t>1.24</w:t>
            </w:r>
          </w:p>
        </w:tc>
        <w:tc>
          <w:tcPr>
            <w:tcW w:w="1069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1069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石油烃C</w:t>
            </w:r>
            <w:r>
              <w:rPr>
                <w:rFonts w:hint="eastAsia"/>
                <w:sz w:val="21"/>
                <w:vertAlign w:val="subscript"/>
              </w:rPr>
              <w:t>6</w:t>
            </w:r>
            <w:r>
              <w:rPr>
                <w:rFonts w:hint="eastAsia"/>
                <w:sz w:val="21"/>
              </w:rPr>
              <w:t>-C</w:t>
            </w:r>
            <w:r>
              <w:rPr>
                <w:rFonts w:hint="eastAsia"/>
                <w:sz w:val="21"/>
                <w:vertAlign w:val="subscript"/>
              </w:rPr>
              <w:t>9</w:t>
            </w:r>
          </w:p>
        </w:tc>
        <w:tc>
          <w:tcPr>
            <w:tcW w:w="1069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mg/L</w:t>
            </w:r>
          </w:p>
        </w:tc>
        <w:tc>
          <w:tcPr>
            <w:tcW w:w="1069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  <w:r>
              <w:rPr>
                <w:sz w:val="21"/>
              </w:rPr>
              <w:t>4.54</w:t>
            </w:r>
          </w:p>
        </w:tc>
        <w:tc>
          <w:tcPr>
            <w:tcW w:w="1069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</w:p>
        </w:tc>
        <w:tc>
          <w:tcPr>
            <w:tcW w:w="1069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石油烃C</w:t>
            </w:r>
            <w:r>
              <w:rPr>
                <w:rFonts w:hint="eastAsia"/>
                <w:sz w:val="21"/>
                <w:vertAlign w:val="subscript"/>
              </w:rPr>
              <w:t>10</w:t>
            </w:r>
            <w:r>
              <w:rPr>
                <w:rFonts w:hint="eastAsia"/>
                <w:sz w:val="21"/>
              </w:rPr>
              <w:t>-C</w:t>
            </w:r>
            <w:r>
              <w:rPr>
                <w:rFonts w:hint="eastAsia"/>
                <w:sz w:val="21"/>
                <w:vertAlign w:val="subscript"/>
              </w:rPr>
              <w:t>16</w:t>
            </w:r>
          </w:p>
        </w:tc>
        <w:tc>
          <w:tcPr>
            <w:tcW w:w="1069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mg/L</w:t>
            </w:r>
          </w:p>
        </w:tc>
        <w:tc>
          <w:tcPr>
            <w:tcW w:w="1069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  <w:r>
              <w:rPr>
                <w:sz w:val="21"/>
              </w:rPr>
              <w:t>1.18</w:t>
            </w:r>
          </w:p>
        </w:tc>
        <w:tc>
          <w:tcPr>
            <w:tcW w:w="1069" w:type="pct"/>
            <w:shd w:val="clear" w:color="auto" w:fill="auto"/>
          </w:tcPr>
          <w:p>
            <w:pPr>
              <w:widowControl w:val="0"/>
              <w:jc w:val="center"/>
              <w:rPr>
                <w:sz w:val="21"/>
              </w:rPr>
            </w:pPr>
          </w:p>
        </w:tc>
      </w:tr>
    </w:tbl>
    <w:p>
      <w:pPr>
        <w:pStyle w:val="3"/>
      </w:pPr>
      <w:bookmarkStart w:id="11" w:name="_Toc5714453"/>
      <w:r>
        <w:rPr>
          <w:rFonts w:hint="eastAsia"/>
        </w:rPr>
        <w:t>修复技术路线</w:t>
      </w:r>
      <w:bookmarkEnd w:id="11"/>
    </w:p>
    <w:p>
      <w:pPr>
        <w:ind w:firstLine="480" w:firstLineChars="200"/>
      </w:pPr>
      <w:r>
        <w:rPr>
          <w:rFonts w:hint="eastAsia"/>
        </w:rPr>
        <w:t>根据技术</w:t>
      </w:r>
      <w:r>
        <w:t>筛选</w:t>
      </w:r>
      <w:r>
        <w:rPr>
          <w:rFonts w:hint="eastAsia"/>
        </w:rPr>
        <w:t>结果及修复方案专家咨询会意见</w:t>
      </w:r>
      <w:r>
        <w:t>，确定适用于本项目的修复技术方案为：</w:t>
      </w:r>
      <w:r>
        <w:rPr>
          <w:rFonts w:hint="eastAsia"/>
        </w:rPr>
        <w:t>污染土壤及地下水采用</w:t>
      </w:r>
      <w:r>
        <w:t>双相抽提技术</w:t>
      </w:r>
      <w:r>
        <w:rPr>
          <w:rFonts w:hint="eastAsia"/>
        </w:rPr>
        <w:t>进行处置，</w:t>
      </w:r>
      <w:r>
        <w:rPr>
          <w:rFonts w:hint="eastAsia"/>
          <w:szCs w:val="24"/>
        </w:rPr>
        <w:t>根据加密检测结果对未达标的土壤区域进行开挖处理。</w:t>
      </w:r>
    </w:p>
    <w:p>
      <w:pPr>
        <w:spacing w:before="163" w:beforeLines="50"/>
        <w:jc w:val="center"/>
      </w:pPr>
      <w:r>
        <w:object>
          <v:shape id="_x0000_i1025" o:spt="75" type="#_x0000_t75" style="height:376.2pt;width:201.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9">
            <o:LockedField>false</o:LockedField>
          </o:OLEObject>
        </w:object>
      </w:r>
    </w:p>
    <w:p>
      <w:pPr>
        <w:pStyle w:val="8"/>
        <w:jc w:val="center"/>
        <w:rPr>
          <w:rFonts w:ascii="Times New Roman" w:hAnsi="Times New Roman" w:eastAsia="宋体"/>
          <w:b/>
          <w:sz w:val="21"/>
          <w:szCs w:val="21"/>
        </w:rPr>
      </w:pPr>
      <w:bookmarkStart w:id="12" w:name="_Toc530406046"/>
      <w:bookmarkStart w:id="13" w:name="_Toc527553705"/>
      <w:r>
        <w:rPr>
          <w:rFonts w:hint="eastAsia" w:ascii="Times New Roman" w:hAnsi="Times New Roman" w:eastAsia="宋体"/>
          <w:b/>
          <w:sz w:val="21"/>
          <w:szCs w:val="21"/>
        </w:rPr>
        <w:t xml:space="preserve">图 </w:t>
      </w:r>
      <w:r>
        <w:rPr>
          <w:rFonts w:ascii="Times New Roman" w:hAnsi="Times New Roman" w:eastAsia="宋体"/>
          <w:b/>
          <w:sz w:val="21"/>
          <w:szCs w:val="21"/>
        </w:rPr>
        <w:t>2</w:t>
      </w:r>
      <w:r>
        <w:rPr>
          <w:rFonts w:ascii="Times New Roman" w:hAnsi="Times New Roman" w:eastAsia="宋体"/>
          <w:b/>
          <w:sz w:val="21"/>
          <w:szCs w:val="21"/>
        </w:rPr>
        <w:noBreakHyphen/>
      </w:r>
      <w:r>
        <w:rPr>
          <w:rFonts w:ascii="Times New Roman" w:hAnsi="Times New Roman" w:eastAsia="宋体"/>
          <w:b/>
          <w:sz w:val="21"/>
          <w:szCs w:val="21"/>
        </w:rPr>
        <w:t>1</w:t>
      </w:r>
      <w:r>
        <w:rPr>
          <w:rFonts w:hint="eastAsia" w:ascii="Times New Roman" w:hAnsi="Times New Roman" w:eastAsia="宋体"/>
          <w:b/>
          <w:sz w:val="21"/>
          <w:szCs w:val="21"/>
        </w:rPr>
        <w:t xml:space="preserve"> </w:t>
      </w:r>
      <w:r>
        <w:rPr>
          <w:rFonts w:ascii="Times New Roman" w:hAnsi="Times New Roman" w:eastAsia="宋体"/>
          <w:b/>
          <w:sz w:val="21"/>
          <w:szCs w:val="21"/>
        </w:rPr>
        <w:t>场地修复总体技术路线</w:t>
      </w:r>
      <w:bookmarkEnd w:id="12"/>
      <w:bookmarkEnd w:id="13"/>
    </w:p>
    <w:p>
      <w:pPr>
        <w:pStyle w:val="3"/>
      </w:pPr>
      <w:bookmarkStart w:id="14" w:name="_Toc5714454"/>
      <w:r>
        <w:rPr>
          <w:rFonts w:hint="eastAsia"/>
        </w:rPr>
        <w:t>修复技术设计</w:t>
      </w:r>
      <w:bookmarkEnd w:id="14"/>
    </w:p>
    <w:p>
      <w:pPr>
        <w:widowControl w:val="0"/>
        <w:ind w:firstLine="480" w:firstLineChars="200"/>
        <w:rPr>
          <w:szCs w:val="24"/>
        </w:rPr>
      </w:pPr>
      <w:r>
        <w:rPr>
          <w:rFonts w:hint="eastAsia"/>
          <w:szCs w:val="24"/>
        </w:rPr>
        <w:t>化学氧化</w:t>
      </w:r>
      <w:r>
        <w:rPr>
          <w:szCs w:val="24"/>
        </w:rPr>
        <w:t>工艺流程如</w:t>
      </w:r>
      <w:r>
        <w:rPr>
          <w:rFonts w:hint="eastAsia"/>
          <w:b/>
          <w:szCs w:val="21"/>
        </w:rPr>
        <w:t>图</w:t>
      </w:r>
      <w:r>
        <w:rPr>
          <w:b/>
          <w:szCs w:val="21"/>
        </w:rPr>
        <w:t xml:space="preserve"> 2</w:t>
      </w:r>
      <w:r>
        <w:rPr>
          <w:b/>
          <w:szCs w:val="21"/>
        </w:rPr>
        <w:noBreakHyphen/>
      </w:r>
      <w:r>
        <w:rPr>
          <w:b/>
          <w:szCs w:val="21"/>
        </w:rPr>
        <w:t>2</w:t>
      </w:r>
      <w:r>
        <w:rPr>
          <w:szCs w:val="24"/>
        </w:rPr>
        <w:t>所示</w:t>
      </w:r>
      <w:r>
        <w:rPr>
          <w:rFonts w:hint="eastAsia"/>
          <w:szCs w:val="24"/>
        </w:rPr>
        <w:t>。</w:t>
      </w:r>
    </w:p>
    <w:p>
      <w:pPr>
        <w:widowControl w:val="0"/>
        <w:ind w:firstLine="480" w:firstLineChars="200"/>
        <w:jc w:val="center"/>
        <w:rPr>
          <w:szCs w:val="24"/>
        </w:rPr>
      </w:pPr>
      <w:r>
        <w:object>
          <v:shape id="_x0000_i1026" o:spt="75" type="#_x0000_t75" style="height:360pt;width:241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Visio.DrawingConvertable.15" ShapeID="_x0000_i1026" DrawAspect="Content" ObjectID="_1468075726" r:id="rId11">
            <o:LockedField>false</o:LockedField>
          </o:OLEObject>
        </w:object>
      </w:r>
    </w:p>
    <w:p>
      <w:pPr>
        <w:pStyle w:val="8"/>
        <w:jc w:val="center"/>
        <w:rPr>
          <w:rFonts w:ascii="Times New Roman" w:hAnsi="Times New Roman" w:eastAsia="宋体"/>
          <w:b/>
          <w:sz w:val="21"/>
          <w:szCs w:val="21"/>
        </w:rPr>
      </w:pPr>
      <w:bookmarkStart w:id="15" w:name="_Toc530406047"/>
      <w:r>
        <w:rPr>
          <w:rFonts w:hint="eastAsia" w:ascii="Times New Roman" w:hAnsi="Times New Roman" w:eastAsia="宋体"/>
          <w:b/>
          <w:sz w:val="21"/>
          <w:szCs w:val="21"/>
        </w:rPr>
        <w:t xml:space="preserve">图 </w:t>
      </w:r>
      <w:r>
        <w:rPr>
          <w:rFonts w:ascii="Times New Roman" w:hAnsi="Times New Roman" w:eastAsia="宋体"/>
          <w:b/>
          <w:sz w:val="21"/>
          <w:szCs w:val="21"/>
        </w:rPr>
        <w:t>2</w:t>
      </w:r>
      <w:r>
        <w:rPr>
          <w:rFonts w:ascii="Times New Roman" w:hAnsi="Times New Roman" w:eastAsia="宋体"/>
          <w:b/>
          <w:sz w:val="21"/>
          <w:szCs w:val="21"/>
        </w:rPr>
        <w:noBreakHyphen/>
      </w:r>
      <w:r>
        <w:rPr>
          <w:rFonts w:ascii="Times New Roman" w:hAnsi="Times New Roman" w:eastAsia="宋体"/>
          <w:b/>
          <w:sz w:val="21"/>
          <w:szCs w:val="21"/>
        </w:rPr>
        <w:fldChar w:fldCharType="begin"/>
      </w:r>
      <w:r>
        <w:rPr>
          <w:rFonts w:ascii="Times New Roman" w:hAnsi="Times New Roman" w:eastAsia="宋体"/>
          <w:b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宋体"/>
          <w:b/>
          <w:sz w:val="21"/>
          <w:szCs w:val="21"/>
        </w:rPr>
        <w:instrText xml:space="preserve">SEQ 图 \* ARABIC \s 1</w:instrText>
      </w:r>
      <w:r>
        <w:rPr>
          <w:rFonts w:ascii="Times New Roman" w:hAnsi="Times New Roman" w:eastAsia="宋体"/>
          <w:b/>
          <w:sz w:val="21"/>
          <w:szCs w:val="21"/>
        </w:rPr>
        <w:instrText xml:space="preserve"> </w:instrText>
      </w:r>
      <w:r>
        <w:rPr>
          <w:rFonts w:ascii="Times New Roman" w:hAnsi="Times New Roman" w:eastAsia="宋体"/>
          <w:b/>
          <w:sz w:val="21"/>
          <w:szCs w:val="21"/>
        </w:rPr>
        <w:fldChar w:fldCharType="separate"/>
      </w:r>
      <w:r>
        <w:rPr>
          <w:rFonts w:ascii="Times New Roman" w:hAnsi="Times New Roman" w:eastAsia="宋体"/>
          <w:b/>
          <w:sz w:val="21"/>
          <w:szCs w:val="21"/>
        </w:rPr>
        <w:t>2</w:t>
      </w:r>
      <w:r>
        <w:rPr>
          <w:rFonts w:ascii="Times New Roman" w:hAnsi="Times New Roman" w:eastAsia="宋体"/>
          <w:b/>
          <w:sz w:val="21"/>
          <w:szCs w:val="21"/>
        </w:rPr>
        <w:fldChar w:fldCharType="end"/>
      </w:r>
      <w:r>
        <w:rPr>
          <w:rFonts w:hint="eastAsia" w:ascii="Times New Roman" w:hAnsi="Times New Roman" w:eastAsia="宋体"/>
          <w:b/>
          <w:sz w:val="21"/>
          <w:szCs w:val="21"/>
        </w:rPr>
        <w:t xml:space="preserve"> 化学氧化工艺流程图</w:t>
      </w:r>
      <w:bookmarkEnd w:id="15"/>
    </w:p>
    <w:p>
      <w:pPr>
        <w:ind w:left="482"/>
        <w:rPr>
          <w:kern w:val="0"/>
          <w:szCs w:val="24"/>
        </w:rPr>
      </w:pPr>
      <w:r>
        <w:rPr>
          <w:rFonts w:hint="eastAsia"/>
          <w:kern w:val="0"/>
          <w:szCs w:val="24"/>
        </w:rPr>
        <w:t>双相抽提</w:t>
      </w:r>
      <w:r>
        <w:rPr>
          <w:kern w:val="0"/>
          <w:szCs w:val="24"/>
        </w:rPr>
        <w:t>技术工艺流程如</w:t>
      </w:r>
      <w:r>
        <w:rPr>
          <w:rFonts w:hint="eastAsia"/>
          <w:b/>
          <w:szCs w:val="21"/>
        </w:rPr>
        <w:t>图</w:t>
      </w:r>
      <w:r>
        <w:rPr>
          <w:b/>
          <w:szCs w:val="21"/>
        </w:rPr>
        <w:t xml:space="preserve"> 2</w:t>
      </w:r>
      <w:r>
        <w:rPr>
          <w:b/>
          <w:szCs w:val="21"/>
        </w:rPr>
        <w:noBreakHyphen/>
      </w:r>
      <w:r>
        <w:rPr>
          <w:b/>
          <w:szCs w:val="21"/>
        </w:rPr>
        <w:fldChar w:fldCharType="begin"/>
      </w:r>
      <w:r>
        <w:rPr>
          <w:b/>
          <w:szCs w:val="21"/>
        </w:rPr>
        <w:instrText xml:space="preserve"> SEQ </w:instrText>
      </w:r>
      <w:r>
        <w:rPr>
          <w:rFonts w:hint="eastAsia"/>
          <w:b/>
          <w:szCs w:val="21"/>
        </w:rPr>
        <w:instrText xml:space="preserve">图</w:instrText>
      </w:r>
      <w:r>
        <w:rPr>
          <w:b/>
          <w:szCs w:val="21"/>
        </w:rPr>
        <w:instrText xml:space="preserve"> \* ARABIC \s 1 </w:instrText>
      </w:r>
      <w:r>
        <w:rPr>
          <w:b/>
          <w:szCs w:val="21"/>
        </w:rPr>
        <w:fldChar w:fldCharType="separate"/>
      </w:r>
      <w:r>
        <w:rPr>
          <w:b/>
          <w:szCs w:val="21"/>
        </w:rPr>
        <w:t>3</w:t>
      </w:r>
      <w:r>
        <w:rPr>
          <w:b/>
          <w:szCs w:val="21"/>
        </w:rPr>
        <w:fldChar w:fldCharType="end"/>
      </w:r>
      <w:r>
        <w:rPr>
          <w:kern w:val="0"/>
          <w:szCs w:val="24"/>
        </w:rPr>
        <w:t>所示</w:t>
      </w:r>
      <w:r>
        <w:rPr>
          <w:rFonts w:hint="eastAsia"/>
          <w:kern w:val="0"/>
          <w:szCs w:val="24"/>
        </w:rPr>
        <w:t>。</w:t>
      </w:r>
    </w:p>
    <w:p>
      <w:pPr>
        <w:keepNext/>
        <w:jc w:val="center"/>
      </w:pPr>
      <w:r>
        <w:object>
          <v:shape id="_x0000_i1027" o:spt="75" type="#_x0000_t75" style="height:312.6pt;width:212.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Visio.DrawingConvertable.15" ShapeID="_x0000_i1027" DrawAspect="Content" ObjectID="_1468075727" r:id="rId13">
            <o:LockedField>false</o:LockedField>
          </o:OLEObject>
        </w:object>
      </w:r>
    </w:p>
    <w:p>
      <w:pPr>
        <w:pStyle w:val="8"/>
        <w:jc w:val="center"/>
        <w:rPr>
          <w:rFonts w:ascii="Times New Roman" w:hAnsi="Times New Roman" w:eastAsia="宋体"/>
          <w:b/>
          <w:sz w:val="21"/>
          <w:szCs w:val="21"/>
        </w:rPr>
      </w:pPr>
      <w:bookmarkStart w:id="16" w:name="_Toc527553710"/>
      <w:bookmarkStart w:id="17" w:name="_Toc530406048"/>
      <w:r>
        <w:rPr>
          <w:rFonts w:hint="eastAsia" w:ascii="Times New Roman" w:hAnsi="Times New Roman" w:eastAsia="宋体"/>
          <w:b/>
          <w:sz w:val="21"/>
          <w:szCs w:val="21"/>
        </w:rPr>
        <w:t xml:space="preserve">图 </w:t>
      </w:r>
      <w:r>
        <w:rPr>
          <w:rFonts w:ascii="Times New Roman" w:hAnsi="Times New Roman" w:eastAsia="宋体"/>
          <w:b/>
          <w:sz w:val="21"/>
          <w:szCs w:val="21"/>
        </w:rPr>
        <w:t>2</w:t>
      </w:r>
      <w:r>
        <w:rPr>
          <w:rFonts w:ascii="Times New Roman" w:hAnsi="Times New Roman" w:eastAsia="宋体"/>
          <w:b/>
          <w:sz w:val="21"/>
          <w:szCs w:val="21"/>
        </w:rPr>
        <w:noBreakHyphen/>
      </w:r>
      <w:r>
        <w:rPr>
          <w:rFonts w:ascii="Times New Roman" w:hAnsi="Times New Roman" w:eastAsia="宋体"/>
          <w:b/>
          <w:sz w:val="21"/>
          <w:szCs w:val="21"/>
        </w:rPr>
        <w:t>3</w:t>
      </w:r>
      <w:r>
        <w:rPr>
          <w:rFonts w:hint="eastAsia" w:ascii="Times New Roman" w:hAnsi="Times New Roman" w:eastAsia="宋体"/>
          <w:b/>
          <w:sz w:val="21"/>
          <w:szCs w:val="21"/>
        </w:rPr>
        <w:t xml:space="preserve"> 双相抽提</w:t>
      </w:r>
      <w:r>
        <w:rPr>
          <w:rFonts w:ascii="Times New Roman" w:hAnsi="Times New Roman" w:eastAsia="宋体"/>
          <w:b/>
          <w:sz w:val="21"/>
          <w:szCs w:val="21"/>
        </w:rPr>
        <w:t>工艺流程</w:t>
      </w:r>
      <w:bookmarkEnd w:id="16"/>
      <w:bookmarkEnd w:id="17"/>
    </w:p>
    <w:p>
      <w:pPr>
        <w:pStyle w:val="2"/>
        <w:pageBreakBefore/>
      </w:pPr>
      <w:bookmarkStart w:id="18" w:name="_Toc5714457"/>
      <w:bookmarkStart w:id="19" w:name="_Toc528920676"/>
      <w:r>
        <w:rPr>
          <w:rFonts w:hint="eastAsia"/>
        </w:rPr>
        <w:t>施工组织方案</w:t>
      </w:r>
      <w:bookmarkEnd w:id="18"/>
      <w:bookmarkEnd w:id="19"/>
    </w:p>
    <w:p>
      <w:pPr>
        <w:pStyle w:val="3"/>
      </w:pPr>
      <w:bookmarkStart w:id="20" w:name="_Toc5714458"/>
      <w:r>
        <w:rPr>
          <w:rFonts w:hint="eastAsia"/>
        </w:rPr>
        <w:t>施工部署</w:t>
      </w:r>
      <w:bookmarkEnd w:id="20"/>
    </w:p>
    <w:p>
      <w:pPr>
        <w:ind w:firstLine="480"/>
      </w:pPr>
      <w:r>
        <w:t>本项目</w:t>
      </w:r>
      <w:r>
        <w:rPr>
          <w:rFonts w:hint="eastAsia"/>
        </w:rPr>
        <w:t>场地离周边敏感点较近，离最近的南侧居民区仅20 m左右，需充分考虑到防治二次污染问题，且该项目施工</w:t>
      </w:r>
      <w:r>
        <w:t>工期较短</w:t>
      </w:r>
      <w:r>
        <w:rPr>
          <w:rFonts w:hint="eastAsia"/>
        </w:rPr>
        <w:t>，</w:t>
      </w:r>
      <w:r>
        <w:t>为了保证可能有充裕的时间进行修复施工，保质如期地完成施工任务，在施工前的施工部署上应考虑到各方面的影响因素，合理规划劳动力、资源、机械、时间、空间的总体布局</w:t>
      </w:r>
      <w:r>
        <w:rPr>
          <w:rFonts w:hint="eastAsia"/>
        </w:rPr>
        <w:t>，施工部署如</w:t>
      </w:r>
      <w:r>
        <w:rPr>
          <w:rFonts w:hint="eastAsia"/>
          <w:b/>
          <w:szCs w:val="21"/>
        </w:rPr>
        <w:t>图</w:t>
      </w:r>
      <w:r>
        <w:rPr>
          <w:b/>
          <w:szCs w:val="21"/>
        </w:rPr>
        <w:t xml:space="preserve"> </w:t>
      </w:r>
      <w:r>
        <w:rPr>
          <w:b/>
          <w:szCs w:val="21"/>
        </w:rPr>
        <w:fldChar w:fldCharType="begin"/>
      </w:r>
      <w:r>
        <w:rPr>
          <w:b/>
          <w:szCs w:val="21"/>
        </w:rPr>
        <w:instrText xml:space="preserve"> STYLEREF 1 \s </w:instrText>
      </w:r>
      <w:r>
        <w:rPr>
          <w:b/>
          <w:szCs w:val="21"/>
        </w:rPr>
        <w:fldChar w:fldCharType="separate"/>
      </w:r>
      <w:r>
        <w:rPr>
          <w:b/>
          <w:szCs w:val="21"/>
        </w:rPr>
        <w:t>4</w:t>
      </w:r>
      <w:r>
        <w:rPr>
          <w:b/>
          <w:szCs w:val="21"/>
        </w:rPr>
        <w:fldChar w:fldCharType="end"/>
      </w:r>
      <w:r>
        <w:rPr>
          <w:b/>
          <w:szCs w:val="21"/>
        </w:rPr>
        <w:noBreakHyphen/>
      </w:r>
      <w:r>
        <w:rPr>
          <w:b/>
          <w:szCs w:val="21"/>
        </w:rPr>
        <w:fldChar w:fldCharType="begin"/>
      </w:r>
      <w:r>
        <w:rPr>
          <w:b/>
          <w:szCs w:val="21"/>
        </w:rPr>
        <w:instrText xml:space="preserve"> SEQ </w:instrText>
      </w:r>
      <w:r>
        <w:rPr>
          <w:rFonts w:hint="eastAsia"/>
          <w:b/>
          <w:szCs w:val="21"/>
        </w:rPr>
        <w:instrText xml:space="preserve">图</w:instrText>
      </w:r>
      <w:r>
        <w:rPr>
          <w:b/>
          <w:szCs w:val="21"/>
        </w:rPr>
        <w:instrText xml:space="preserve"> \* ARABIC \s 1 </w:instrText>
      </w:r>
      <w:r>
        <w:rPr>
          <w:b/>
          <w:szCs w:val="21"/>
        </w:rPr>
        <w:fldChar w:fldCharType="separate"/>
      </w:r>
      <w:r>
        <w:rPr>
          <w:b/>
          <w:szCs w:val="21"/>
        </w:rPr>
        <w:t>1</w:t>
      </w:r>
      <w:r>
        <w:rPr>
          <w:b/>
          <w:szCs w:val="21"/>
        </w:rPr>
        <w:fldChar w:fldCharType="end"/>
      </w:r>
      <w:r>
        <w:rPr>
          <w:rFonts w:hint="eastAsia"/>
        </w:rPr>
        <w:t>所示。</w:t>
      </w:r>
    </w:p>
    <w:p>
      <w:pPr>
        <w:spacing w:before="163" w:beforeLines="50"/>
        <w:jc w:val="center"/>
        <w:rPr>
          <w:b/>
          <w:sz w:val="21"/>
          <w:szCs w:val="21"/>
        </w:rPr>
      </w:pPr>
      <w:r>
        <w:object>
          <v:shape id="_x0000_i1028" o:spt="75" type="#_x0000_t75" style="height:453pt;width:59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Visio.Drawing.11" ShapeID="_x0000_i1028" DrawAspect="Content" ObjectID="_1468075728" r:id="rId15">
            <o:LockedField>false</o:LockedField>
          </o:OLEObject>
        </w:object>
      </w:r>
      <w:bookmarkStart w:id="21" w:name="_Toc530406049"/>
      <w:r>
        <w:rPr>
          <w:rFonts w:hint="eastAsia"/>
          <w:b/>
          <w:sz w:val="21"/>
          <w:szCs w:val="21"/>
        </w:rPr>
        <w:t xml:space="preserve">图 </w:t>
      </w:r>
      <w:r>
        <w:rPr>
          <w:b/>
          <w:sz w:val="21"/>
          <w:szCs w:val="21"/>
        </w:rPr>
        <w:t>3</w:t>
      </w:r>
      <w:r>
        <w:rPr>
          <w:b/>
          <w:sz w:val="21"/>
          <w:szCs w:val="21"/>
        </w:rPr>
        <w:noBreakHyphen/>
      </w:r>
      <w:r>
        <w:rPr>
          <w:b/>
          <w:sz w:val="21"/>
          <w:szCs w:val="21"/>
        </w:rPr>
        <w:t>1</w:t>
      </w:r>
      <w:r>
        <w:rPr>
          <w:rFonts w:hint="eastAsia"/>
          <w:b/>
          <w:sz w:val="21"/>
          <w:szCs w:val="21"/>
        </w:rPr>
        <w:t xml:space="preserve"> 总体施工部署流程图</w:t>
      </w:r>
      <w:bookmarkEnd w:id="21"/>
    </w:p>
    <w:p>
      <w:pPr>
        <w:pStyle w:val="3"/>
        <w:sectPr>
          <w:headerReference r:id="rId5" w:type="default"/>
          <w:footerReference r:id="rId6" w:type="default"/>
          <w:pgSz w:w="11906" w:h="16838"/>
          <w:pgMar w:top="1440" w:right="1800" w:bottom="1440" w:left="1800" w:header="567" w:footer="737" w:gutter="0"/>
          <w:cols w:space="425" w:num="1"/>
          <w:docGrid w:type="lines" w:linePitch="326" w:charSpace="0"/>
        </w:sectPr>
      </w:pPr>
      <w:r>
        <w:rPr>
          <w:rFonts w:hint="eastAsia"/>
        </w:rPr>
        <w:t>施工</w:t>
      </w:r>
      <w:r>
        <w:t>平面</w:t>
      </w:r>
      <w:r>
        <w:rPr>
          <w:rFonts w:hint="eastAsia"/>
        </w:rPr>
        <w:t>布置</w:t>
      </w:r>
    </w:p>
    <w:p>
      <w:pPr>
        <w:jc w:val="center"/>
      </w:pPr>
      <w:r>
        <w:drawing>
          <wp:inline distT="0" distB="0" distL="0" distR="0">
            <wp:extent cx="6788150" cy="48958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04478" cy="490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jc w:val="center"/>
        <w:rPr>
          <w:rFonts w:ascii="Times New Roman" w:hAnsi="Times New Roman" w:eastAsia="宋体"/>
          <w:b/>
          <w:sz w:val="21"/>
          <w:szCs w:val="21"/>
        </w:rPr>
      </w:pPr>
      <w:bookmarkStart w:id="22" w:name="_Toc530406050"/>
      <w:r>
        <w:rPr>
          <w:rFonts w:hint="eastAsia" w:ascii="Times New Roman" w:hAnsi="Times New Roman" w:eastAsia="宋体"/>
          <w:b/>
          <w:sz w:val="21"/>
          <w:szCs w:val="21"/>
        </w:rPr>
        <w:t xml:space="preserve">图 </w:t>
      </w:r>
      <w:r>
        <w:rPr>
          <w:rFonts w:ascii="Times New Roman" w:hAnsi="Times New Roman" w:eastAsia="宋体"/>
          <w:b/>
          <w:sz w:val="21"/>
          <w:szCs w:val="21"/>
        </w:rPr>
        <w:t>3</w:t>
      </w:r>
      <w:r>
        <w:rPr>
          <w:rFonts w:ascii="Times New Roman" w:hAnsi="Times New Roman" w:eastAsia="宋体"/>
          <w:b/>
          <w:sz w:val="21"/>
          <w:szCs w:val="21"/>
        </w:rPr>
        <w:noBreakHyphen/>
      </w:r>
      <w:r>
        <w:rPr>
          <w:rFonts w:ascii="Times New Roman" w:hAnsi="Times New Roman" w:eastAsia="宋体"/>
          <w:b/>
          <w:sz w:val="21"/>
          <w:szCs w:val="21"/>
        </w:rPr>
        <w:t>2</w:t>
      </w:r>
      <w:r>
        <w:rPr>
          <w:rFonts w:hint="eastAsia" w:ascii="Times New Roman" w:hAnsi="Times New Roman" w:eastAsia="宋体"/>
          <w:b/>
          <w:sz w:val="21"/>
          <w:szCs w:val="21"/>
        </w:rPr>
        <w:t xml:space="preserve"> 施工平面布置图</w:t>
      </w:r>
      <w:bookmarkEnd w:id="22"/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26" w:charSpace="0"/>
        </w:sectPr>
      </w:pPr>
    </w:p>
    <w:p>
      <w:pPr>
        <w:pStyle w:val="2"/>
        <w:pageBreakBefore/>
      </w:pPr>
      <w:bookmarkStart w:id="23" w:name="_Toc5714502"/>
      <w:bookmarkStart w:id="24" w:name="_Toc528920679"/>
      <w:r>
        <w:rPr>
          <w:rFonts w:hint="eastAsia"/>
        </w:rPr>
        <w:t>进度安排计划</w:t>
      </w:r>
      <w:bookmarkEnd w:id="23"/>
      <w:bookmarkEnd w:id="24"/>
    </w:p>
    <w:p>
      <w:pPr>
        <w:ind w:firstLine="480" w:firstLineChars="200"/>
        <w:rPr>
          <w:szCs w:val="24"/>
        </w:rPr>
        <w:sectPr>
          <w:pgSz w:w="11906" w:h="16838"/>
          <w:pgMar w:top="1440" w:right="1800" w:bottom="1440" w:left="1800" w:header="567" w:footer="737" w:gutter="0"/>
          <w:cols w:space="425" w:num="1"/>
          <w:docGrid w:type="lines" w:linePitch="326" w:charSpace="0"/>
        </w:sectPr>
      </w:pPr>
    </w:p>
    <w:p>
      <w:pPr>
        <w:jc w:val="center"/>
      </w:pPr>
      <w:r>
        <w:drawing>
          <wp:inline distT="0" distB="0" distL="0" distR="0">
            <wp:extent cx="8382635" cy="49301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 l="497" t="800" r="458" b="774"/>
                    <a:stretch>
                      <a:fillRect/>
                    </a:stretch>
                  </pic:blipFill>
                  <pic:spPr>
                    <a:xfrm>
                      <a:off x="0" y="0"/>
                      <a:ext cx="8395593" cy="49383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jc w:val="center"/>
        <w:rPr>
          <w:rFonts w:ascii="Times New Roman" w:hAnsi="Times New Roman" w:eastAsia="宋体"/>
          <w:b/>
          <w:sz w:val="21"/>
          <w:szCs w:val="21"/>
        </w:rPr>
      </w:pPr>
      <w:bookmarkStart w:id="25" w:name="_Toc527553737"/>
      <w:bookmarkStart w:id="26" w:name="_Toc530406058"/>
      <w:r>
        <w:rPr>
          <w:rFonts w:hint="eastAsia" w:ascii="Times New Roman" w:hAnsi="Times New Roman" w:eastAsia="宋体"/>
          <w:b/>
          <w:sz w:val="21"/>
          <w:szCs w:val="21"/>
        </w:rPr>
        <w:t xml:space="preserve">图 </w:t>
      </w:r>
      <w:r>
        <w:rPr>
          <w:rFonts w:ascii="Times New Roman" w:hAnsi="Times New Roman" w:eastAsia="宋体"/>
          <w:b/>
          <w:sz w:val="21"/>
          <w:szCs w:val="21"/>
        </w:rPr>
        <w:t>4</w:t>
      </w:r>
      <w:r>
        <w:rPr>
          <w:rFonts w:ascii="Times New Roman" w:hAnsi="Times New Roman" w:eastAsia="宋体"/>
          <w:b/>
          <w:sz w:val="21"/>
          <w:szCs w:val="21"/>
        </w:rPr>
        <w:noBreakHyphen/>
      </w:r>
      <w:r>
        <w:rPr>
          <w:rFonts w:ascii="Times New Roman" w:hAnsi="Times New Roman" w:eastAsia="宋体"/>
          <w:b/>
          <w:sz w:val="21"/>
          <w:szCs w:val="21"/>
        </w:rPr>
        <w:t>1</w:t>
      </w:r>
      <w:r>
        <w:rPr>
          <w:rFonts w:hint="eastAsia" w:ascii="Times New Roman" w:hAnsi="Times New Roman" w:eastAsia="宋体"/>
          <w:b/>
          <w:sz w:val="21"/>
          <w:szCs w:val="21"/>
        </w:rPr>
        <w:t xml:space="preserve"> 施工横道图</w:t>
      </w:r>
      <w:bookmarkEnd w:id="25"/>
      <w:bookmarkEnd w:id="26"/>
    </w:p>
    <w:p>
      <w:pPr>
        <w:ind w:firstLine="480" w:firstLineChars="20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26" w:charSpace="0"/>
        </w:sectPr>
      </w:pPr>
    </w:p>
    <w:p>
      <w:pPr>
        <w:pStyle w:val="2"/>
        <w:pageBreakBefore/>
      </w:pPr>
      <w:bookmarkStart w:id="27" w:name="_Toc5714508"/>
      <w:r>
        <w:rPr>
          <w:rFonts w:hint="eastAsia"/>
        </w:rPr>
        <w:t>环境管理计划</w:t>
      </w:r>
      <w:bookmarkEnd w:id="27"/>
    </w:p>
    <w:p>
      <w:pPr>
        <w:pStyle w:val="3"/>
      </w:pPr>
      <w:bookmarkStart w:id="28" w:name="_Toc5714509"/>
      <w:r>
        <w:rPr>
          <w:rFonts w:hint="eastAsia"/>
        </w:rPr>
        <w:t>二次污染防治和措施</w:t>
      </w:r>
      <w:bookmarkEnd w:id="28"/>
    </w:p>
    <w:p>
      <w:pPr>
        <w:pStyle w:val="8"/>
        <w:jc w:val="center"/>
        <w:rPr>
          <w:rFonts w:ascii="Times New Roman" w:hAnsi="Times New Roman" w:eastAsia="宋体"/>
          <w:b/>
          <w:sz w:val="21"/>
          <w:szCs w:val="21"/>
        </w:rPr>
      </w:pPr>
      <w:bookmarkStart w:id="29" w:name="_Toc448737974"/>
      <w:bookmarkStart w:id="30" w:name="_Toc476643601"/>
      <w:bookmarkStart w:id="31" w:name="_Toc486431296"/>
      <w:bookmarkStart w:id="32" w:name="_Toc527553676"/>
      <w:bookmarkStart w:id="33" w:name="_Toc503782642"/>
      <w:bookmarkStart w:id="34" w:name="_Toc530406148"/>
      <w:bookmarkStart w:id="35" w:name="_Toc519536850"/>
      <w:r>
        <w:rPr>
          <w:rFonts w:hint="eastAsia" w:ascii="Times New Roman" w:hAnsi="Times New Roman" w:eastAsia="宋体"/>
          <w:b/>
          <w:sz w:val="21"/>
          <w:szCs w:val="21"/>
        </w:rPr>
        <w:t xml:space="preserve">表 </w:t>
      </w:r>
      <w:r>
        <w:rPr>
          <w:rFonts w:ascii="Times New Roman" w:hAnsi="Times New Roman" w:eastAsia="宋体"/>
          <w:b/>
          <w:sz w:val="21"/>
          <w:szCs w:val="21"/>
        </w:rPr>
        <w:t>5</w:t>
      </w:r>
      <w:r>
        <w:rPr>
          <w:rFonts w:ascii="Times New Roman" w:hAnsi="Times New Roman" w:eastAsia="宋体"/>
          <w:b/>
          <w:sz w:val="21"/>
          <w:szCs w:val="21"/>
        </w:rPr>
        <w:noBreakHyphen/>
      </w:r>
      <w:r>
        <w:rPr>
          <w:rFonts w:hint="eastAsia" w:ascii="Times New Roman" w:hAnsi="Times New Roman" w:eastAsia="宋体"/>
          <w:b/>
          <w:sz w:val="21"/>
          <w:szCs w:val="21"/>
        </w:rPr>
        <w:t xml:space="preserve">1 </w:t>
      </w:r>
      <w:r>
        <w:rPr>
          <w:rFonts w:ascii="Times New Roman" w:hAnsi="Times New Roman" w:eastAsia="宋体"/>
          <w:b/>
          <w:sz w:val="21"/>
          <w:szCs w:val="21"/>
        </w:rPr>
        <w:t>二次污染防治措施汇总</w:t>
      </w:r>
      <w:bookmarkEnd w:id="29"/>
      <w:r>
        <w:rPr>
          <w:rFonts w:ascii="Times New Roman" w:hAnsi="Times New Roman" w:eastAsia="宋体"/>
          <w:b/>
          <w:sz w:val="21"/>
          <w:szCs w:val="21"/>
        </w:rPr>
        <w:t>表</w:t>
      </w:r>
      <w:bookmarkEnd w:id="30"/>
      <w:bookmarkEnd w:id="31"/>
      <w:bookmarkEnd w:id="32"/>
      <w:bookmarkEnd w:id="33"/>
      <w:bookmarkEnd w:id="34"/>
      <w:bookmarkEnd w:id="35"/>
    </w:p>
    <w:tbl>
      <w:tblPr>
        <w:tblStyle w:val="2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393"/>
        <w:gridCol w:w="4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42" w:type="pct"/>
            <w:shd w:val="clear" w:color="auto" w:fill="BEBEBE" w:themeFill="background1" w:themeFillShade="BF"/>
            <w:vAlign w:val="center"/>
          </w:tcPr>
          <w:p>
            <w:pPr>
              <w:spacing w:line="240" w:lineRule="auto"/>
              <w:jc w:val="center"/>
              <w:rPr>
                <w:b/>
                <w:sz w:val="21"/>
                <w:szCs w:val="24"/>
              </w:rPr>
            </w:pPr>
            <w:r>
              <w:rPr>
                <w:b/>
                <w:sz w:val="21"/>
                <w:szCs w:val="24"/>
              </w:rPr>
              <w:t>二次污染类型</w:t>
            </w:r>
          </w:p>
        </w:tc>
        <w:tc>
          <w:tcPr>
            <w:tcW w:w="1404" w:type="pct"/>
            <w:shd w:val="clear" w:color="auto" w:fill="BEBEBE" w:themeFill="background1" w:themeFillShade="BF"/>
            <w:vAlign w:val="center"/>
          </w:tcPr>
          <w:p>
            <w:pPr>
              <w:spacing w:line="240" w:lineRule="auto"/>
              <w:jc w:val="center"/>
              <w:rPr>
                <w:b/>
                <w:sz w:val="21"/>
                <w:szCs w:val="24"/>
              </w:rPr>
            </w:pPr>
            <w:r>
              <w:rPr>
                <w:b/>
                <w:sz w:val="21"/>
                <w:szCs w:val="24"/>
              </w:rPr>
              <w:t>可能污染源</w:t>
            </w:r>
          </w:p>
        </w:tc>
        <w:tc>
          <w:tcPr>
            <w:tcW w:w="2554" w:type="pct"/>
            <w:shd w:val="clear" w:color="auto" w:fill="BEBEBE" w:themeFill="background1" w:themeFillShade="BF"/>
            <w:vAlign w:val="center"/>
          </w:tcPr>
          <w:p>
            <w:pPr>
              <w:spacing w:line="240" w:lineRule="auto"/>
              <w:jc w:val="center"/>
              <w:rPr>
                <w:b/>
                <w:sz w:val="21"/>
                <w:szCs w:val="24"/>
              </w:rPr>
            </w:pPr>
            <w:r>
              <w:rPr>
                <w:b/>
                <w:sz w:val="21"/>
                <w:szCs w:val="24"/>
              </w:rPr>
              <w:t>主要防治措施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2" w:type="pct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废气及</w:t>
            </w:r>
            <w:r>
              <w:rPr>
                <w:sz w:val="21"/>
                <w:szCs w:val="24"/>
              </w:rPr>
              <w:t>扬尘污染</w:t>
            </w:r>
          </w:p>
        </w:tc>
        <w:tc>
          <w:tcPr>
            <w:tcW w:w="1404" w:type="pct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污染土壤的运输、堆放和</w:t>
            </w:r>
            <w:r>
              <w:rPr>
                <w:rFonts w:hint="eastAsia"/>
                <w:sz w:val="21"/>
                <w:szCs w:val="24"/>
              </w:rPr>
              <w:t>处置</w:t>
            </w:r>
            <w:r>
              <w:rPr>
                <w:sz w:val="21"/>
                <w:szCs w:val="24"/>
              </w:rPr>
              <w:t>等过程</w:t>
            </w:r>
          </w:p>
        </w:tc>
        <w:tc>
          <w:tcPr>
            <w:tcW w:w="2554" w:type="pct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规范施工</w:t>
            </w:r>
          </w:p>
          <w:p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运输车辆覆盖</w:t>
            </w:r>
          </w:p>
          <w:p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道路清洗</w:t>
            </w:r>
          </w:p>
          <w:p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车辆冲洗</w:t>
            </w:r>
          </w:p>
          <w:p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基坑、堆土覆盖，异味扩散控制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2" w:type="pct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土壤污染</w:t>
            </w:r>
          </w:p>
        </w:tc>
        <w:tc>
          <w:tcPr>
            <w:tcW w:w="1404" w:type="pct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污染土壤清挖、转移和处置过程</w:t>
            </w:r>
          </w:p>
        </w:tc>
        <w:tc>
          <w:tcPr>
            <w:tcW w:w="2554" w:type="pct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处置场地</w:t>
            </w:r>
            <w:r>
              <w:rPr>
                <w:rFonts w:hint="eastAsia"/>
                <w:sz w:val="21"/>
                <w:szCs w:val="24"/>
              </w:rPr>
              <w:t>硬化</w:t>
            </w:r>
            <w:r>
              <w:rPr>
                <w:sz w:val="21"/>
                <w:szCs w:val="24"/>
              </w:rPr>
              <w:t>防渗防护</w:t>
            </w:r>
          </w:p>
          <w:p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土方运输车加盖、覆盖</w:t>
            </w:r>
          </w:p>
          <w:p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合理施工，避免土壤遗洒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2" w:type="pct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废水</w:t>
            </w:r>
            <w:r>
              <w:rPr>
                <w:sz w:val="21"/>
                <w:szCs w:val="24"/>
              </w:rPr>
              <w:t>污染</w:t>
            </w:r>
          </w:p>
        </w:tc>
        <w:tc>
          <w:tcPr>
            <w:tcW w:w="1404" w:type="pct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污染土壤的堆放、降水、</w:t>
            </w:r>
            <w:r>
              <w:rPr>
                <w:rFonts w:hint="eastAsia"/>
                <w:sz w:val="21"/>
                <w:szCs w:val="24"/>
              </w:rPr>
              <w:t>废水</w:t>
            </w:r>
            <w:r>
              <w:rPr>
                <w:sz w:val="21"/>
                <w:szCs w:val="24"/>
              </w:rPr>
              <w:t>收集等过程</w:t>
            </w:r>
          </w:p>
        </w:tc>
        <w:tc>
          <w:tcPr>
            <w:tcW w:w="2554" w:type="pct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废水</w:t>
            </w:r>
            <w:r>
              <w:rPr>
                <w:sz w:val="21"/>
                <w:szCs w:val="24"/>
              </w:rPr>
              <w:t>收集、处置系统设置</w:t>
            </w:r>
          </w:p>
          <w:p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基坑及</w:t>
            </w:r>
            <w:r>
              <w:rPr>
                <w:sz w:val="21"/>
                <w:szCs w:val="24"/>
              </w:rPr>
              <w:t>堆土覆盖，防止雨水冲刷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2" w:type="pct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噪声污染</w:t>
            </w:r>
          </w:p>
        </w:tc>
        <w:tc>
          <w:tcPr>
            <w:tcW w:w="1404" w:type="pct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土壤开挖、运输、污染土壤处置等过程</w:t>
            </w:r>
          </w:p>
        </w:tc>
        <w:tc>
          <w:tcPr>
            <w:tcW w:w="2554" w:type="pct"/>
            <w:vAlign w:val="center"/>
          </w:tcPr>
          <w:p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加强施工现场噪声监测</w:t>
            </w:r>
          </w:p>
          <w:p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减少强噪声设备投入，引入低噪声设备</w:t>
            </w:r>
          </w:p>
          <w:p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加强噪声日常监督管理</w:t>
            </w:r>
          </w:p>
          <w:p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1"/>
                <w:szCs w:val="24"/>
              </w:rPr>
            </w:pPr>
            <w:r>
              <w:rPr>
                <w:sz w:val="21"/>
                <w:szCs w:val="24"/>
              </w:rPr>
              <w:t>增强员工噪声扰民意识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2" w:type="pct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固体废物污染</w:t>
            </w:r>
          </w:p>
        </w:tc>
        <w:tc>
          <w:tcPr>
            <w:tcW w:w="1404" w:type="pct"/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气体处理装置中活性炭</w:t>
            </w:r>
          </w:p>
        </w:tc>
        <w:tc>
          <w:tcPr>
            <w:tcW w:w="2554" w:type="pct"/>
            <w:vAlign w:val="center"/>
          </w:tcPr>
          <w:p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及时做好活性炭收集工作</w:t>
            </w:r>
          </w:p>
          <w:p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将活性炭交给有处置资质的单位进行处置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/>
        </w:rPr>
      </w:pPr>
    </w:p>
    <w:sectPr>
      <w:pgSz w:w="11906" w:h="16838"/>
      <w:pgMar w:top="1440" w:right="1800" w:bottom="1440" w:left="1800" w:header="567" w:footer="737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2997468"/>
      <w:docPartObj>
        <w:docPartGallery w:val="AutoText"/>
      </w:docPartObj>
    </w:sdtPr>
    <w:sdtContent>
      <w:p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38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rFonts w:hint="eastAsia"/>
      </w:rPr>
      <w:t>凯旋单元FG25-R21-18地块景芳拆迁安置房及西侧G1-35B公园绿地工程（原杭州景芳加油站）</w:t>
    </w:r>
  </w:p>
  <w:p>
    <w:pPr>
      <w:pStyle w:val="16"/>
    </w:pPr>
    <w:r>
      <w:rPr>
        <w:rFonts w:hint="eastAsia"/>
      </w:rPr>
      <w:t>土壤修复项目修复方案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F2C75"/>
    <w:multiLevelType w:val="multilevel"/>
    <w:tmpl w:val="05AF2C75"/>
    <w:lvl w:ilvl="0" w:tentative="0">
      <w:start w:val="1"/>
      <w:numFmt w:val="decimal"/>
      <w:suff w:val="nothing"/>
      <w:lvlText w:val="%1、"/>
      <w:lvlJc w:val="left"/>
      <w:pPr>
        <w:ind w:left="113" w:hanging="11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083164F0"/>
    <w:multiLevelType w:val="multilevel"/>
    <w:tmpl w:val="083164F0"/>
    <w:lvl w:ilvl="0" w:tentative="0">
      <w:start w:val="1"/>
      <w:numFmt w:val="decimal"/>
      <w:suff w:val="nothing"/>
      <w:lvlText w:val="%1、"/>
      <w:lvlJc w:val="left"/>
      <w:pPr>
        <w:ind w:left="113" w:hanging="11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3C47381D"/>
    <w:multiLevelType w:val="multilevel"/>
    <w:tmpl w:val="3C47381D"/>
    <w:lvl w:ilvl="0" w:tentative="0">
      <w:start w:val="1"/>
      <w:numFmt w:val="decimal"/>
      <w:suff w:val="nothing"/>
      <w:lvlText w:val="%1、"/>
      <w:lvlJc w:val="left"/>
      <w:pPr>
        <w:ind w:left="113" w:hanging="11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3EDA010B"/>
    <w:multiLevelType w:val="multilevel"/>
    <w:tmpl w:val="3EDA010B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>
    <w:nsid w:val="4C5C29F2"/>
    <w:multiLevelType w:val="multilevel"/>
    <w:tmpl w:val="4C5C29F2"/>
    <w:lvl w:ilvl="0" w:tentative="0">
      <w:start w:val="1"/>
      <w:numFmt w:val="decimal"/>
      <w:suff w:val="nothing"/>
      <w:lvlText w:val="%1、"/>
      <w:lvlJc w:val="left"/>
      <w:pPr>
        <w:ind w:left="113" w:hanging="11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>
    <w:nsid w:val="4EC80907"/>
    <w:multiLevelType w:val="singleLevel"/>
    <w:tmpl w:val="4EC80907"/>
    <w:lvl w:ilvl="0" w:tentative="0">
      <w:start w:val="1"/>
      <w:numFmt w:val="bullet"/>
      <w:pStyle w:val="50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7DC40E1E"/>
    <w:multiLevelType w:val="multilevel"/>
    <w:tmpl w:val="7DC40E1E"/>
    <w:lvl w:ilvl="0" w:tentative="0">
      <w:start w:val="1"/>
      <w:numFmt w:val="decimal"/>
      <w:suff w:val="nothing"/>
      <w:lvlText w:val="%1、"/>
      <w:lvlJc w:val="left"/>
      <w:pPr>
        <w:ind w:left="113" w:hanging="11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26"/>
    <w:rsid w:val="00002271"/>
    <w:rsid w:val="00002C51"/>
    <w:rsid w:val="00011C7D"/>
    <w:rsid w:val="000121A2"/>
    <w:rsid w:val="000151F9"/>
    <w:rsid w:val="00020638"/>
    <w:rsid w:val="00022CA3"/>
    <w:rsid w:val="00023B36"/>
    <w:rsid w:val="00025004"/>
    <w:rsid w:val="00025776"/>
    <w:rsid w:val="00027F41"/>
    <w:rsid w:val="00031717"/>
    <w:rsid w:val="00031A53"/>
    <w:rsid w:val="00033B5E"/>
    <w:rsid w:val="000414FC"/>
    <w:rsid w:val="00042827"/>
    <w:rsid w:val="0004321B"/>
    <w:rsid w:val="00045BCE"/>
    <w:rsid w:val="000500F9"/>
    <w:rsid w:val="000522D0"/>
    <w:rsid w:val="000538C8"/>
    <w:rsid w:val="00061140"/>
    <w:rsid w:val="00076247"/>
    <w:rsid w:val="0008303C"/>
    <w:rsid w:val="00090518"/>
    <w:rsid w:val="000917C2"/>
    <w:rsid w:val="00092D28"/>
    <w:rsid w:val="00094410"/>
    <w:rsid w:val="000967E8"/>
    <w:rsid w:val="000A09E4"/>
    <w:rsid w:val="000A22FF"/>
    <w:rsid w:val="000B0CB6"/>
    <w:rsid w:val="000B1273"/>
    <w:rsid w:val="000B42C0"/>
    <w:rsid w:val="000B7AFA"/>
    <w:rsid w:val="000C0A65"/>
    <w:rsid w:val="000C33D6"/>
    <w:rsid w:val="000C5E7F"/>
    <w:rsid w:val="000E2DF4"/>
    <w:rsid w:val="000E4334"/>
    <w:rsid w:val="000E616A"/>
    <w:rsid w:val="000F1374"/>
    <w:rsid w:val="000F4520"/>
    <w:rsid w:val="000F6E19"/>
    <w:rsid w:val="000F7333"/>
    <w:rsid w:val="00100F09"/>
    <w:rsid w:val="00101316"/>
    <w:rsid w:val="0010381D"/>
    <w:rsid w:val="0010499F"/>
    <w:rsid w:val="00110228"/>
    <w:rsid w:val="00110987"/>
    <w:rsid w:val="001157A8"/>
    <w:rsid w:val="00120304"/>
    <w:rsid w:val="001253D8"/>
    <w:rsid w:val="0013014F"/>
    <w:rsid w:val="001445E2"/>
    <w:rsid w:val="00147AF9"/>
    <w:rsid w:val="00156CB4"/>
    <w:rsid w:val="00157004"/>
    <w:rsid w:val="001643C7"/>
    <w:rsid w:val="00167C10"/>
    <w:rsid w:val="00180753"/>
    <w:rsid w:val="00180940"/>
    <w:rsid w:val="001829E6"/>
    <w:rsid w:val="00182CA6"/>
    <w:rsid w:val="00184586"/>
    <w:rsid w:val="00187671"/>
    <w:rsid w:val="00193BCE"/>
    <w:rsid w:val="001A0724"/>
    <w:rsid w:val="001A397B"/>
    <w:rsid w:val="001A42F5"/>
    <w:rsid w:val="001A5E63"/>
    <w:rsid w:val="001A70E3"/>
    <w:rsid w:val="001A7E3A"/>
    <w:rsid w:val="001B06AE"/>
    <w:rsid w:val="001B1AB4"/>
    <w:rsid w:val="001B7654"/>
    <w:rsid w:val="001B781C"/>
    <w:rsid w:val="001C1DE7"/>
    <w:rsid w:val="001C4564"/>
    <w:rsid w:val="001C5FCA"/>
    <w:rsid w:val="001C66BD"/>
    <w:rsid w:val="001D412D"/>
    <w:rsid w:val="001D47B0"/>
    <w:rsid w:val="001D6287"/>
    <w:rsid w:val="001E27E2"/>
    <w:rsid w:val="001E41A5"/>
    <w:rsid w:val="001E5F1A"/>
    <w:rsid w:val="001E7B46"/>
    <w:rsid w:val="001F5786"/>
    <w:rsid w:val="00203900"/>
    <w:rsid w:val="00205380"/>
    <w:rsid w:val="002104C4"/>
    <w:rsid w:val="00211F29"/>
    <w:rsid w:val="00212D44"/>
    <w:rsid w:val="00216132"/>
    <w:rsid w:val="00220879"/>
    <w:rsid w:val="00221C26"/>
    <w:rsid w:val="00224DAA"/>
    <w:rsid w:val="00232751"/>
    <w:rsid w:val="00234606"/>
    <w:rsid w:val="0023644C"/>
    <w:rsid w:val="00237F11"/>
    <w:rsid w:val="002404B0"/>
    <w:rsid w:val="0024173A"/>
    <w:rsid w:val="00241BB0"/>
    <w:rsid w:val="0024218A"/>
    <w:rsid w:val="00246A6A"/>
    <w:rsid w:val="0024743B"/>
    <w:rsid w:val="00251416"/>
    <w:rsid w:val="002516C8"/>
    <w:rsid w:val="0026007A"/>
    <w:rsid w:val="00263FF7"/>
    <w:rsid w:val="0026508B"/>
    <w:rsid w:val="00265303"/>
    <w:rsid w:val="00266AFC"/>
    <w:rsid w:val="0027082D"/>
    <w:rsid w:val="0027355D"/>
    <w:rsid w:val="00282099"/>
    <w:rsid w:val="00285422"/>
    <w:rsid w:val="00285CA0"/>
    <w:rsid w:val="00291AE4"/>
    <w:rsid w:val="002952AF"/>
    <w:rsid w:val="002A1161"/>
    <w:rsid w:val="002A4445"/>
    <w:rsid w:val="002A5BFE"/>
    <w:rsid w:val="002A77D4"/>
    <w:rsid w:val="002B1E25"/>
    <w:rsid w:val="002B480F"/>
    <w:rsid w:val="002B5266"/>
    <w:rsid w:val="002B5453"/>
    <w:rsid w:val="002B5F4B"/>
    <w:rsid w:val="002B72F5"/>
    <w:rsid w:val="002C354D"/>
    <w:rsid w:val="002C6924"/>
    <w:rsid w:val="002D272E"/>
    <w:rsid w:val="002D46DD"/>
    <w:rsid w:val="002E12AB"/>
    <w:rsid w:val="002E65E0"/>
    <w:rsid w:val="002F1CD6"/>
    <w:rsid w:val="002F3D25"/>
    <w:rsid w:val="002F6081"/>
    <w:rsid w:val="002F6661"/>
    <w:rsid w:val="00302CAF"/>
    <w:rsid w:val="00306353"/>
    <w:rsid w:val="003064C0"/>
    <w:rsid w:val="00307ED0"/>
    <w:rsid w:val="0031494B"/>
    <w:rsid w:val="0031575D"/>
    <w:rsid w:val="0031601A"/>
    <w:rsid w:val="00316099"/>
    <w:rsid w:val="00317BB4"/>
    <w:rsid w:val="00320169"/>
    <w:rsid w:val="00324181"/>
    <w:rsid w:val="00324E6D"/>
    <w:rsid w:val="00325D49"/>
    <w:rsid w:val="00325E7F"/>
    <w:rsid w:val="00326AF7"/>
    <w:rsid w:val="00326C7A"/>
    <w:rsid w:val="003305DF"/>
    <w:rsid w:val="00330E2C"/>
    <w:rsid w:val="00332003"/>
    <w:rsid w:val="00332ADB"/>
    <w:rsid w:val="00337880"/>
    <w:rsid w:val="0034105B"/>
    <w:rsid w:val="00341FC8"/>
    <w:rsid w:val="003451A5"/>
    <w:rsid w:val="003468D4"/>
    <w:rsid w:val="003516F5"/>
    <w:rsid w:val="00356188"/>
    <w:rsid w:val="00360357"/>
    <w:rsid w:val="003649EA"/>
    <w:rsid w:val="003709E0"/>
    <w:rsid w:val="00371BA4"/>
    <w:rsid w:val="0037519A"/>
    <w:rsid w:val="00384F1A"/>
    <w:rsid w:val="0038518E"/>
    <w:rsid w:val="003919A8"/>
    <w:rsid w:val="0039286E"/>
    <w:rsid w:val="0039470D"/>
    <w:rsid w:val="00394C56"/>
    <w:rsid w:val="00397411"/>
    <w:rsid w:val="00397707"/>
    <w:rsid w:val="00397A8E"/>
    <w:rsid w:val="003A0776"/>
    <w:rsid w:val="003A15D2"/>
    <w:rsid w:val="003A23CA"/>
    <w:rsid w:val="003A340A"/>
    <w:rsid w:val="003B1109"/>
    <w:rsid w:val="003B1E10"/>
    <w:rsid w:val="003C1E34"/>
    <w:rsid w:val="003C2697"/>
    <w:rsid w:val="003C73D2"/>
    <w:rsid w:val="003D0A56"/>
    <w:rsid w:val="003E1190"/>
    <w:rsid w:val="003E2142"/>
    <w:rsid w:val="003E4F1D"/>
    <w:rsid w:val="003E5B6F"/>
    <w:rsid w:val="003F0174"/>
    <w:rsid w:val="003F2A7D"/>
    <w:rsid w:val="003F2F90"/>
    <w:rsid w:val="003F427E"/>
    <w:rsid w:val="003F5487"/>
    <w:rsid w:val="003F6463"/>
    <w:rsid w:val="00407B62"/>
    <w:rsid w:val="00407FF9"/>
    <w:rsid w:val="004101BF"/>
    <w:rsid w:val="004143A0"/>
    <w:rsid w:val="00414ED1"/>
    <w:rsid w:val="004255EB"/>
    <w:rsid w:val="00432981"/>
    <w:rsid w:val="0043355C"/>
    <w:rsid w:val="00434D08"/>
    <w:rsid w:val="00441D41"/>
    <w:rsid w:val="00447D2B"/>
    <w:rsid w:val="004526E9"/>
    <w:rsid w:val="00455439"/>
    <w:rsid w:val="0046148B"/>
    <w:rsid w:val="00465273"/>
    <w:rsid w:val="0047239E"/>
    <w:rsid w:val="00473BD6"/>
    <w:rsid w:val="00473DD8"/>
    <w:rsid w:val="0047478D"/>
    <w:rsid w:val="00485D5D"/>
    <w:rsid w:val="00486B82"/>
    <w:rsid w:val="00492EA4"/>
    <w:rsid w:val="004A50BA"/>
    <w:rsid w:val="004A70D7"/>
    <w:rsid w:val="004B7B43"/>
    <w:rsid w:val="004C0072"/>
    <w:rsid w:val="004C1DD3"/>
    <w:rsid w:val="004C67FC"/>
    <w:rsid w:val="004C7048"/>
    <w:rsid w:val="004D0593"/>
    <w:rsid w:val="004D163C"/>
    <w:rsid w:val="004D23A5"/>
    <w:rsid w:val="004D53D8"/>
    <w:rsid w:val="004D7498"/>
    <w:rsid w:val="004D7BE0"/>
    <w:rsid w:val="004E33F4"/>
    <w:rsid w:val="004E6FFB"/>
    <w:rsid w:val="004E7274"/>
    <w:rsid w:val="004F0BFB"/>
    <w:rsid w:val="004F1645"/>
    <w:rsid w:val="004F1883"/>
    <w:rsid w:val="004F58DC"/>
    <w:rsid w:val="00502C14"/>
    <w:rsid w:val="005050E4"/>
    <w:rsid w:val="00510326"/>
    <w:rsid w:val="00510B2E"/>
    <w:rsid w:val="00512763"/>
    <w:rsid w:val="005143DE"/>
    <w:rsid w:val="00515EF6"/>
    <w:rsid w:val="0051783C"/>
    <w:rsid w:val="00521E15"/>
    <w:rsid w:val="00523802"/>
    <w:rsid w:val="00524CEE"/>
    <w:rsid w:val="005306B7"/>
    <w:rsid w:val="00536DF0"/>
    <w:rsid w:val="00537555"/>
    <w:rsid w:val="0054166B"/>
    <w:rsid w:val="005418D4"/>
    <w:rsid w:val="00541C8A"/>
    <w:rsid w:val="00542E09"/>
    <w:rsid w:val="00553A4C"/>
    <w:rsid w:val="00555D01"/>
    <w:rsid w:val="00555D2A"/>
    <w:rsid w:val="0056092B"/>
    <w:rsid w:val="00562709"/>
    <w:rsid w:val="00564CD7"/>
    <w:rsid w:val="00565BA7"/>
    <w:rsid w:val="00565E20"/>
    <w:rsid w:val="00566A22"/>
    <w:rsid w:val="00570155"/>
    <w:rsid w:val="005734A5"/>
    <w:rsid w:val="00575B1C"/>
    <w:rsid w:val="005761A5"/>
    <w:rsid w:val="0057701F"/>
    <w:rsid w:val="005850A8"/>
    <w:rsid w:val="00585E53"/>
    <w:rsid w:val="005870EB"/>
    <w:rsid w:val="00587E63"/>
    <w:rsid w:val="005961AB"/>
    <w:rsid w:val="005A3E09"/>
    <w:rsid w:val="005A5540"/>
    <w:rsid w:val="005A5FB0"/>
    <w:rsid w:val="005A6762"/>
    <w:rsid w:val="005A7153"/>
    <w:rsid w:val="005B7336"/>
    <w:rsid w:val="005C269E"/>
    <w:rsid w:val="005C2A71"/>
    <w:rsid w:val="005C3352"/>
    <w:rsid w:val="005C4EF7"/>
    <w:rsid w:val="005C5C1C"/>
    <w:rsid w:val="005D015F"/>
    <w:rsid w:val="005D157E"/>
    <w:rsid w:val="005E022F"/>
    <w:rsid w:val="005E4E61"/>
    <w:rsid w:val="005E752E"/>
    <w:rsid w:val="005F4CEE"/>
    <w:rsid w:val="005F5A82"/>
    <w:rsid w:val="005F5C16"/>
    <w:rsid w:val="005F655C"/>
    <w:rsid w:val="00600B47"/>
    <w:rsid w:val="00600FDD"/>
    <w:rsid w:val="00601957"/>
    <w:rsid w:val="0060216D"/>
    <w:rsid w:val="00605A48"/>
    <w:rsid w:val="006064A3"/>
    <w:rsid w:val="006102E4"/>
    <w:rsid w:val="00610E23"/>
    <w:rsid w:val="00611004"/>
    <w:rsid w:val="00613410"/>
    <w:rsid w:val="00613A36"/>
    <w:rsid w:val="0061651A"/>
    <w:rsid w:val="0062384B"/>
    <w:rsid w:val="00624254"/>
    <w:rsid w:val="00627F0A"/>
    <w:rsid w:val="00633A66"/>
    <w:rsid w:val="00637850"/>
    <w:rsid w:val="00641A8D"/>
    <w:rsid w:val="00641CFD"/>
    <w:rsid w:val="006448EC"/>
    <w:rsid w:val="00646DF9"/>
    <w:rsid w:val="00646F92"/>
    <w:rsid w:val="00650092"/>
    <w:rsid w:val="00661548"/>
    <w:rsid w:val="006623D9"/>
    <w:rsid w:val="00662DAA"/>
    <w:rsid w:val="0067174D"/>
    <w:rsid w:val="00673E3F"/>
    <w:rsid w:val="00680270"/>
    <w:rsid w:val="00687A55"/>
    <w:rsid w:val="00691D90"/>
    <w:rsid w:val="00692883"/>
    <w:rsid w:val="00696688"/>
    <w:rsid w:val="0069689C"/>
    <w:rsid w:val="006A10A3"/>
    <w:rsid w:val="006A2562"/>
    <w:rsid w:val="006A4FCC"/>
    <w:rsid w:val="006A5E04"/>
    <w:rsid w:val="006A6087"/>
    <w:rsid w:val="006A6197"/>
    <w:rsid w:val="006A691D"/>
    <w:rsid w:val="006B06B7"/>
    <w:rsid w:val="006B3C6F"/>
    <w:rsid w:val="006C2588"/>
    <w:rsid w:val="006C438D"/>
    <w:rsid w:val="006D089C"/>
    <w:rsid w:val="006D1D2A"/>
    <w:rsid w:val="006D3436"/>
    <w:rsid w:val="006D3AA1"/>
    <w:rsid w:val="006D6288"/>
    <w:rsid w:val="006D6DF0"/>
    <w:rsid w:val="006E102C"/>
    <w:rsid w:val="006E76DB"/>
    <w:rsid w:val="006F14B7"/>
    <w:rsid w:val="007022CB"/>
    <w:rsid w:val="00703B1C"/>
    <w:rsid w:val="00705439"/>
    <w:rsid w:val="007054EB"/>
    <w:rsid w:val="00707136"/>
    <w:rsid w:val="0070766C"/>
    <w:rsid w:val="0070793F"/>
    <w:rsid w:val="00721977"/>
    <w:rsid w:val="0072239E"/>
    <w:rsid w:val="00722B41"/>
    <w:rsid w:val="007233E2"/>
    <w:rsid w:val="00724258"/>
    <w:rsid w:val="00727155"/>
    <w:rsid w:val="00734162"/>
    <w:rsid w:val="007359D5"/>
    <w:rsid w:val="00737CC1"/>
    <w:rsid w:val="00737CFF"/>
    <w:rsid w:val="0074014A"/>
    <w:rsid w:val="0074038F"/>
    <w:rsid w:val="007421DE"/>
    <w:rsid w:val="0074382B"/>
    <w:rsid w:val="00752B12"/>
    <w:rsid w:val="007547B6"/>
    <w:rsid w:val="0075561D"/>
    <w:rsid w:val="00761E22"/>
    <w:rsid w:val="00764CA2"/>
    <w:rsid w:val="00766AF2"/>
    <w:rsid w:val="00770EAB"/>
    <w:rsid w:val="00771459"/>
    <w:rsid w:val="00773508"/>
    <w:rsid w:val="00775653"/>
    <w:rsid w:val="00781D30"/>
    <w:rsid w:val="00786D27"/>
    <w:rsid w:val="007906C5"/>
    <w:rsid w:val="00790BE7"/>
    <w:rsid w:val="007919A4"/>
    <w:rsid w:val="00791A67"/>
    <w:rsid w:val="007A1D16"/>
    <w:rsid w:val="007A2147"/>
    <w:rsid w:val="007A3933"/>
    <w:rsid w:val="007A64B8"/>
    <w:rsid w:val="007A703D"/>
    <w:rsid w:val="007B04AE"/>
    <w:rsid w:val="007B0C99"/>
    <w:rsid w:val="007B1DF7"/>
    <w:rsid w:val="007B7746"/>
    <w:rsid w:val="007C12EE"/>
    <w:rsid w:val="007C5BD2"/>
    <w:rsid w:val="007C5BE2"/>
    <w:rsid w:val="007D0C29"/>
    <w:rsid w:val="007D4DEC"/>
    <w:rsid w:val="007E028C"/>
    <w:rsid w:val="007E0E45"/>
    <w:rsid w:val="007E1934"/>
    <w:rsid w:val="007E1978"/>
    <w:rsid w:val="007E3B55"/>
    <w:rsid w:val="007E4F35"/>
    <w:rsid w:val="007E78D2"/>
    <w:rsid w:val="007F1465"/>
    <w:rsid w:val="007F1F6B"/>
    <w:rsid w:val="007F468C"/>
    <w:rsid w:val="00805A3C"/>
    <w:rsid w:val="00805DF4"/>
    <w:rsid w:val="00810084"/>
    <w:rsid w:val="00810BC1"/>
    <w:rsid w:val="00811DBA"/>
    <w:rsid w:val="00812E3C"/>
    <w:rsid w:val="00826EAF"/>
    <w:rsid w:val="008317C8"/>
    <w:rsid w:val="00833EAD"/>
    <w:rsid w:val="00834159"/>
    <w:rsid w:val="008361F0"/>
    <w:rsid w:val="00836F67"/>
    <w:rsid w:val="00840ED7"/>
    <w:rsid w:val="00842A1C"/>
    <w:rsid w:val="008457EF"/>
    <w:rsid w:val="008501C6"/>
    <w:rsid w:val="00851CEB"/>
    <w:rsid w:val="00854804"/>
    <w:rsid w:val="00855FCD"/>
    <w:rsid w:val="0086056E"/>
    <w:rsid w:val="00864BAD"/>
    <w:rsid w:val="00864FEC"/>
    <w:rsid w:val="0086555F"/>
    <w:rsid w:val="00872AA8"/>
    <w:rsid w:val="00887A9C"/>
    <w:rsid w:val="008900D9"/>
    <w:rsid w:val="008913DE"/>
    <w:rsid w:val="00891705"/>
    <w:rsid w:val="00891FC1"/>
    <w:rsid w:val="00894B47"/>
    <w:rsid w:val="008952A4"/>
    <w:rsid w:val="00895A3F"/>
    <w:rsid w:val="008A3158"/>
    <w:rsid w:val="008A4894"/>
    <w:rsid w:val="008A4F9B"/>
    <w:rsid w:val="008A6EA5"/>
    <w:rsid w:val="008B23F0"/>
    <w:rsid w:val="008B3164"/>
    <w:rsid w:val="008B3439"/>
    <w:rsid w:val="008B67F1"/>
    <w:rsid w:val="008D0FBE"/>
    <w:rsid w:val="008D33CF"/>
    <w:rsid w:val="008E1EF8"/>
    <w:rsid w:val="008E5FB4"/>
    <w:rsid w:val="008E7DF0"/>
    <w:rsid w:val="008F2F01"/>
    <w:rsid w:val="008F3713"/>
    <w:rsid w:val="008F6B02"/>
    <w:rsid w:val="00905FA6"/>
    <w:rsid w:val="00907DBB"/>
    <w:rsid w:val="00910B88"/>
    <w:rsid w:val="00914801"/>
    <w:rsid w:val="00915891"/>
    <w:rsid w:val="00917C08"/>
    <w:rsid w:val="0092244B"/>
    <w:rsid w:val="00922F7C"/>
    <w:rsid w:val="009253AA"/>
    <w:rsid w:val="00926F17"/>
    <w:rsid w:val="00930255"/>
    <w:rsid w:val="009412CE"/>
    <w:rsid w:val="00941383"/>
    <w:rsid w:val="00944D4A"/>
    <w:rsid w:val="00946711"/>
    <w:rsid w:val="00950D16"/>
    <w:rsid w:val="009601D6"/>
    <w:rsid w:val="00961E18"/>
    <w:rsid w:val="00965330"/>
    <w:rsid w:val="009765D1"/>
    <w:rsid w:val="0098128A"/>
    <w:rsid w:val="009842C4"/>
    <w:rsid w:val="00986B41"/>
    <w:rsid w:val="00990C56"/>
    <w:rsid w:val="00994C98"/>
    <w:rsid w:val="0099640A"/>
    <w:rsid w:val="00996CC5"/>
    <w:rsid w:val="009A17D2"/>
    <w:rsid w:val="009A1B31"/>
    <w:rsid w:val="009A6261"/>
    <w:rsid w:val="009A7C78"/>
    <w:rsid w:val="009B1596"/>
    <w:rsid w:val="009B1D11"/>
    <w:rsid w:val="009B4B53"/>
    <w:rsid w:val="009B731F"/>
    <w:rsid w:val="009C22A6"/>
    <w:rsid w:val="009C4B03"/>
    <w:rsid w:val="009C78D6"/>
    <w:rsid w:val="009D0353"/>
    <w:rsid w:val="009D0F3A"/>
    <w:rsid w:val="009D53B9"/>
    <w:rsid w:val="009E1B67"/>
    <w:rsid w:val="009E3F30"/>
    <w:rsid w:val="009F203B"/>
    <w:rsid w:val="009F6E69"/>
    <w:rsid w:val="00A019D9"/>
    <w:rsid w:val="00A019DC"/>
    <w:rsid w:val="00A03BDE"/>
    <w:rsid w:val="00A100FC"/>
    <w:rsid w:val="00A11F75"/>
    <w:rsid w:val="00A27CFD"/>
    <w:rsid w:val="00A35010"/>
    <w:rsid w:val="00A359B8"/>
    <w:rsid w:val="00A37156"/>
    <w:rsid w:val="00A4030C"/>
    <w:rsid w:val="00A43F1C"/>
    <w:rsid w:val="00A46761"/>
    <w:rsid w:val="00A510B1"/>
    <w:rsid w:val="00A52386"/>
    <w:rsid w:val="00A52B61"/>
    <w:rsid w:val="00A54CEC"/>
    <w:rsid w:val="00A6062D"/>
    <w:rsid w:val="00A72B4D"/>
    <w:rsid w:val="00A7376B"/>
    <w:rsid w:val="00A747F0"/>
    <w:rsid w:val="00A82DB4"/>
    <w:rsid w:val="00A83155"/>
    <w:rsid w:val="00A917A8"/>
    <w:rsid w:val="00A91862"/>
    <w:rsid w:val="00A92EC8"/>
    <w:rsid w:val="00A944EA"/>
    <w:rsid w:val="00A94E3A"/>
    <w:rsid w:val="00A96A67"/>
    <w:rsid w:val="00A96DCF"/>
    <w:rsid w:val="00A9789B"/>
    <w:rsid w:val="00AA1247"/>
    <w:rsid w:val="00AA173A"/>
    <w:rsid w:val="00AA226A"/>
    <w:rsid w:val="00AB0360"/>
    <w:rsid w:val="00AB2C84"/>
    <w:rsid w:val="00AB4B9F"/>
    <w:rsid w:val="00AB6B53"/>
    <w:rsid w:val="00AB6E1D"/>
    <w:rsid w:val="00AB74DF"/>
    <w:rsid w:val="00AC15AA"/>
    <w:rsid w:val="00AC161D"/>
    <w:rsid w:val="00AC47E4"/>
    <w:rsid w:val="00AC5123"/>
    <w:rsid w:val="00AC6DD8"/>
    <w:rsid w:val="00AD5E14"/>
    <w:rsid w:val="00AE3531"/>
    <w:rsid w:val="00AE4941"/>
    <w:rsid w:val="00AF0CA5"/>
    <w:rsid w:val="00AF4D10"/>
    <w:rsid w:val="00AF6A52"/>
    <w:rsid w:val="00AF6F24"/>
    <w:rsid w:val="00B01DEA"/>
    <w:rsid w:val="00B027BF"/>
    <w:rsid w:val="00B05C7F"/>
    <w:rsid w:val="00B16769"/>
    <w:rsid w:val="00B176BB"/>
    <w:rsid w:val="00B22315"/>
    <w:rsid w:val="00B23223"/>
    <w:rsid w:val="00B26028"/>
    <w:rsid w:val="00B32035"/>
    <w:rsid w:val="00B34472"/>
    <w:rsid w:val="00B3691D"/>
    <w:rsid w:val="00B36B9B"/>
    <w:rsid w:val="00B47BE5"/>
    <w:rsid w:val="00B52D2D"/>
    <w:rsid w:val="00B537D1"/>
    <w:rsid w:val="00B613F0"/>
    <w:rsid w:val="00B63006"/>
    <w:rsid w:val="00B63C09"/>
    <w:rsid w:val="00B63E5E"/>
    <w:rsid w:val="00B64C29"/>
    <w:rsid w:val="00B71DDD"/>
    <w:rsid w:val="00B741D7"/>
    <w:rsid w:val="00B7586D"/>
    <w:rsid w:val="00B77FBC"/>
    <w:rsid w:val="00B81CF4"/>
    <w:rsid w:val="00B83B67"/>
    <w:rsid w:val="00B84656"/>
    <w:rsid w:val="00B87B0C"/>
    <w:rsid w:val="00B9757C"/>
    <w:rsid w:val="00B97B60"/>
    <w:rsid w:val="00BA4545"/>
    <w:rsid w:val="00BA698B"/>
    <w:rsid w:val="00BB05E8"/>
    <w:rsid w:val="00BB0C46"/>
    <w:rsid w:val="00BB1E37"/>
    <w:rsid w:val="00BB2348"/>
    <w:rsid w:val="00BB3DE6"/>
    <w:rsid w:val="00BB504F"/>
    <w:rsid w:val="00BB6E8F"/>
    <w:rsid w:val="00BB7FB4"/>
    <w:rsid w:val="00BC0EAC"/>
    <w:rsid w:val="00BC5594"/>
    <w:rsid w:val="00BD20EF"/>
    <w:rsid w:val="00BD2CD2"/>
    <w:rsid w:val="00BD61C6"/>
    <w:rsid w:val="00BE1360"/>
    <w:rsid w:val="00BE23EB"/>
    <w:rsid w:val="00BE2DAE"/>
    <w:rsid w:val="00BE4261"/>
    <w:rsid w:val="00BF2C57"/>
    <w:rsid w:val="00BF3267"/>
    <w:rsid w:val="00BF3A41"/>
    <w:rsid w:val="00BF4609"/>
    <w:rsid w:val="00BF47FA"/>
    <w:rsid w:val="00C015C7"/>
    <w:rsid w:val="00C04704"/>
    <w:rsid w:val="00C05E32"/>
    <w:rsid w:val="00C125F1"/>
    <w:rsid w:val="00C17193"/>
    <w:rsid w:val="00C22608"/>
    <w:rsid w:val="00C34286"/>
    <w:rsid w:val="00C370D0"/>
    <w:rsid w:val="00C414BA"/>
    <w:rsid w:val="00C420A5"/>
    <w:rsid w:val="00C43BC4"/>
    <w:rsid w:val="00C447CB"/>
    <w:rsid w:val="00C46278"/>
    <w:rsid w:val="00C46C95"/>
    <w:rsid w:val="00C54823"/>
    <w:rsid w:val="00C55B1E"/>
    <w:rsid w:val="00C6279A"/>
    <w:rsid w:val="00C76C1C"/>
    <w:rsid w:val="00C83136"/>
    <w:rsid w:val="00C83855"/>
    <w:rsid w:val="00C83C69"/>
    <w:rsid w:val="00C83F22"/>
    <w:rsid w:val="00C844A6"/>
    <w:rsid w:val="00C87089"/>
    <w:rsid w:val="00C930D9"/>
    <w:rsid w:val="00C97F39"/>
    <w:rsid w:val="00CA0157"/>
    <w:rsid w:val="00CA0517"/>
    <w:rsid w:val="00CA2C36"/>
    <w:rsid w:val="00CB2D7D"/>
    <w:rsid w:val="00CC007B"/>
    <w:rsid w:val="00CC19E8"/>
    <w:rsid w:val="00CC3532"/>
    <w:rsid w:val="00CC3DD5"/>
    <w:rsid w:val="00CD29D9"/>
    <w:rsid w:val="00CD7E05"/>
    <w:rsid w:val="00CE4096"/>
    <w:rsid w:val="00CE428E"/>
    <w:rsid w:val="00CE44BA"/>
    <w:rsid w:val="00CF0F9D"/>
    <w:rsid w:val="00CF2CDB"/>
    <w:rsid w:val="00CF5581"/>
    <w:rsid w:val="00CF5C4F"/>
    <w:rsid w:val="00CF62C4"/>
    <w:rsid w:val="00CF76D1"/>
    <w:rsid w:val="00CF7E05"/>
    <w:rsid w:val="00D00269"/>
    <w:rsid w:val="00D02490"/>
    <w:rsid w:val="00D02AEF"/>
    <w:rsid w:val="00D064F7"/>
    <w:rsid w:val="00D06D43"/>
    <w:rsid w:val="00D06E8A"/>
    <w:rsid w:val="00D06F9E"/>
    <w:rsid w:val="00D07632"/>
    <w:rsid w:val="00D110D8"/>
    <w:rsid w:val="00D210BE"/>
    <w:rsid w:val="00D2196F"/>
    <w:rsid w:val="00D21FEB"/>
    <w:rsid w:val="00D22905"/>
    <w:rsid w:val="00D22D0D"/>
    <w:rsid w:val="00D27650"/>
    <w:rsid w:val="00D30152"/>
    <w:rsid w:val="00D31D87"/>
    <w:rsid w:val="00D342F1"/>
    <w:rsid w:val="00D34678"/>
    <w:rsid w:val="00D415D0"/>
    <w:rsid w:val="00D437F4"/>
    <w:rsid w:val="00D44C7A"/>
    <w:rsid w:val="00D56248"/>
    <w:rsid w:val="00D57540"/>
    <w:rsid w:val="00D60097"/>
    <w:rsid w:val="00D61D35"/>
    <w:rsid w:val="00D6360C"/>
    <w:rsid w:val="00D6364B"/>
    <w:rsid w:val="00D640FD"/>
    <w:rsid w:val="00D67C76"/>
    <w:rsid w:val="00D751A3"/>
    <w:rsid w:val="00D83476"/>
    <w:rsid w:val="00D8409D"/>
    <w:rsid w:val="00D86CA5"/>
    <w:rsid w:val="00D91FE9"/>
    <w:rsid w:val="00DA5694"/>
    <w:rsid w:val="00DB03C7"/>
    <w:rsid w:val="00DB1403"/>
    <w:rsid w:val="00DB3CE4"/>
    <w:rsid w:val="00DB6A83"/>
    <w:rsid w:val="00DB739C"/>
    <w:rsid w:val="00DB7ECF"/>
    <w:rsid w:val="00DB7F42"/>
    <w:rsid w:val="00DD00CC"/>
    <w:rsid w:val="00DD083E"/>
    <w:rsid w:val="00DD2C4F"/>
    <w:rsid w:val="00DD55F6"/>
    <w:rsid w:val="00DD6864"/>
    <w:rsid w:val="00DE183C"/>
    <w:rsid w:val="00DE37B2"/>
    <w:rsid w:val="00DE5663"/>
    <w:rsid w:val="00DF7919"/>
    <w:rsid w:val="00E0546E"/>
    <w:rsid w:val="00E10678"/>
    <w:rsid w:val="00E125C0"/>
    <w:rsid w:val="00E17441"/>
    <w:rsid w:val="00E17E86"/>
    <w:rsid w:val="00E200CA"/>
    <w:rsid w:val="00E24FFB"/>
    <w:rsid w:val="00E264B8"/>
    <w:rsid w:val="00E26F5B"/>
    <w:rsid w:val="00E305D7"/>
    <w:rsid w:val="00E357E3"/>
    <w:rsid w:val="00E36A4F"/>
    <w:rsid w:val="00E45172"/>
    <w:rsid w:val="00E5073C"/>
    <w:rsid w:val="00E54C36"/>
    <w:rsid w:val="00E54D04"/>
    <w:rsid w:val="00E5744C"/>
    <w:rsid w:val="00E612BF"/>
    <w:rsid w:val="00E6522E"/>
    <w:rsid w:val="00E66D58"/>
    <w:rsid w:val="00E70EC5"/>
    <w:rsid w:val="00E73DAD"/>
    <w:rsid w:val="00E75700"/>
    <w:rsid w:val="00E759FD"/>
    <w:rsid w:val="00E75E69"/>
    <w:rsid w:val="00E77442"/>
    <w:rsid w:val="00E825CA"/>
    <w:rsid w:val="00E82F30"/>
    <w:rsid w:val="00E84621"/>
    <w:rsid w:val="00E8588F"/>
    <w:rsid w:val="00E85DCC"/>
    <w:rsid w:val="00E86B5B"/>
    <w:rsid w:val="00E870AA"/>
    <w:rsid w:val="00E874D8"/>
    <w:rsid w:val="00E92F36"/>
    <w:rsid w:val="00E936CA"/>
    <w:rsid w:val="00E95A04"/>
    <w:rsid w:val="00EA0551"/>
    <w:rsid w:val="00EA39A2"/>
    <w:rsid w:val="00EA4040"/>
    <w:rsid w:val="00EA75CC"/>
    <w:rsid w:val="00EB4BE4"/>
    <w:rsid w:val="00EB7901"/>
    <w:rsid w:val="00EC3608"/>
    <w:rsid w:val="00EC4021"/>
    <w:rsid w:val="00ED129B"/>
    <w:rsid w:val="00ED3686"/>
    <w:rsid w:val="00ED40A9"/>
    <w:rsid w:val="00ED57E1"/>
    <w:rsid w:val="00ED608F"/>
    <w:rsid w:val="00ED61D9"/>
    <w:rsid w:val="00ED6725"/>
    <w:rsid w:val="00EE0424"/>
    <w:rsid w:val="00EE13AB"/>
    <w:rsid w:val="00EE5AF1"/>
    <w:rsid w:val="00EE5DF4"/>
    <w:rsid w:val="00EF0392"/>
    <w:rsid w:val="00EF457D"/>
    <w:rsid w:val="00F00480"/>
    <w:rsid w:val="00F01088"/>
    <w:rsid w:val="00F017A3"/>
    <w:rsid w:val="00F065B0"/>
    <w:rsid w:val="00F067EA"/>
    <w:rsid w:val="00F079FE"/>
    <w:rsid w:val="00F136C6"/>
    <w:rsid w:val="00F143E9"/>
    <w:rsid w:val="00F163C8"/>
    <w:rsid w:val="00F175A7"/>
    <w:rsid w:val="00F23C2E"/>
    <w:rsid w:val="00F24703"/>
    <w:rsid w:val="00F2599E"/>
    <w:rsid w:val="00F31789"/>
    <w:rsid w:val="00F35912"/>
    <w:rsid w:val="00F379A4"/>
    <w:rsid w:val="00F41A82"/>
    <w:rsid w:val="00F4227B"/>
    <w:rsid w:val="00F44725"/>
    <w:rsid w:val="00F45021"/>
    <w:rsid w:val="00F529F8"/>
    <w:rsid w:val="00F544E4"/>
    <w:rsid w:val="00F56B1A"/>
    <w:rsid w:val="00F60B55"/>
    <w:rsid w:val="00F630BF"/>
    <w:rsid w:val="00F675F1"/>
    <w:rsid w:val="00F73013"/>
    <w:rsid w:val="00F7716F"/>
    <w:rsid w:val="00F83A44"/>
    <w:rsid w:val="00F862B9"/>
    <w:rsid w:val="00F8672F"/>
    <w:rsid w:val="00F92FE3"/>
    <w:rsid w:val="00FA1288"/>
    <w:rsid w:val="00FB557F"/>
    <w:rsid w:val="00FC0E17"/>
    <w:rsid w:val="00FC45BE"/>
    <w:rsid w:val="00FC7A2E"/>
    <w:rsid w:val="00FD1019"/>
    <w:rsid w:val="00FD15D6"/>
    <w:rsid w:val="00FD1D60"/>
    <w:rsid w:val="00FD263B"/>
    <w:rsid w:val="00FD5BD2"/>
    <w:rsid w:val="00FD6317"/>
    <w:rsid w:val="00FF174E"/>
    <w:rsid w:val="2A9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1"/>
    <w:pPr>
      <w:keepNext/>
      <w:keepLines/>
      <w:numPr>
        <w:ilvl w:val="0"/>
        <w:numId w:val="1"/>
      </w:numPr>
      <w:spacing w:before="120" w:after="120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0"/>
    <w:qFormat/>
    <w:uiPriority w:val="1"/>
    <w:pPr>
      <w:keepNext/>
      <w:keepLines/>
      <w:numPr>
        <w:ilvl w:val="1"/>
        <w:numId w:val="1"/>
      </w:numPr>
      <w:spacing w:before="120" w:after="120"/>
      <w:outlineLvl w:val="1"/>
    </w:pPr>
    <w:rPr>
      <w:b/>
      <w:bCs/>
      <w:kern w:val="0"/>
      <w:szCs w:val="32"/>
    </w:rPr>
  </w:style>
  <w:style w:type="paragraph" w:styleId="4">
    <w:name w:val="heading 3"/>
    <w:basedOn w:val="1"/>
    <w:next w:val="1"/>
    <w:link w:val="31"/>
    <w:qFormat/>
    <w:uiPriority w:val="1"/>
    <w:pPr>
      <w:keepNext/>
      <w:keepLines/>
      <w:numPr>
        <w:ilvl w:val="2"/>
        <w:numId w:val="1"/>
      </w:numPr>
      <w:outlineLvl w:val="2"/>
    </w:pPr>
    <w:rPr>
      <w:b/>
      <w:bCs/>
      <w:kern w:val="0"/>
      <w:szCs w:val="32"/>
    </w:rPr>
  </w:style>
  <w:style w:type="paragraph" w:styleId="5">
    <w:name w:val="heading 4"/>
    <w:basedOn w:val="1"/>
    <w:next w:val="1"/>
    <w:link w:val="32"/>
    <w:qFormat/>
    <w:uiPriority w:val="1"/>
    <w:pPr>
      <w:keepNext/>
      <w:keepLines/>
      <w:widowControl w:val="0"/>
      <w:ind w:left="425" w:hanging="425"/>
      <w:outlineLvl w:val="3"/>
    </w:pPr>
    <w:rPr>
      <w:b/>
      <w:bCs/>
      <w:szCs w:val="28"/>
    </w:rPr>
  </w:style>
  <w:style w:type="paragraph" w:styleId="6">
    <w:name w:val="heading 5"/>
    <w:basedOn w:val="1"/>
    <w:next w:val="1"/>
    <w:link w:val="33"/>
    <w:qFormat/>
    <w:uiPriority w:val="9"/>
    <w:pPr>
      <w:keepNext/>
      <w:keepLines/>
      <w:widowControl w:val="0"/>
      <w:outlineLvl w:val="4"/>
    </w:pPr>
    <w:rPr>
      <w:b/>
      <w:bCs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widowControl w:val="0"/>
      <w:spacing w:line="240" w:lineRule="auto"/>
      <w:ind w:left="2520" w:leftChars="1200"/>
    </w:pPr>
    <w:rPr>
      <w:rFonts w:asciiTheme="minorHAnsi" w:hAnsiTheme="minorHAnsi" w:eastAsiaTheme="minorEastAsia" w:cstheme="minorBidi"/>
      <w:sz w:val="21"/>
    </w:rPr>
  </w:style>
  <w:style w:type="paragraph" w:styleId="8">
    <w:name w:val="caption"/>
    <w:basedOn w:val="1"/>
    <w:next w:val="1"/>
    <w:link w:val="39"/>
    <w:qFormat/>
    <w:uiPriority w:val="0"/>
    <w:rPr>
      <w:rFonts w:ascii="Arial" w:hAnsi="Arial" w:eastAsia="黑体" w:cs="Arial"/>
      <w:sz w:val="20"/>
      <w:szCs w:val="20"/>
    </w:rPr>
  </w:style>
  <w:style w:type="paragraph" w:styleId="9">
    <w:name w:val="Document Map"/>
    <w:basedOn w:val="1"/>
    <w:link w:val="51"/>
    <w:semiHidden/>
    <w:unhideWhenUsed/>
    <w:qFormat/>
    <w:uiPriority w:val="99"/>
    <w:rPr>
      <w:rFonts w:ascii="宋体"/>
      <w:sz w:val="18"/>
      <w:szCs w:val="18"/>
    </w:rPr>
  </w:style>
  <w:style w:type="paragraph" w:styleId="10">
    <w:name w:val="annotation text"/>
    <w:basedOn w:val="1"/>
    <w:link w:val="47"/>
    <w:semiHidden/>
    <w:unhideWhenUsed/>
    <w:uiPriority w:val="99"/>
    <w:pPr>
      <w:jc w:val="left"/>
    </w:pPr>
  </w:style>
  <w:style w:type="paragraph" w:styleId="11">
    <w:name w:val="toc 5"/>
    <w:basedOn w:val="1"/>
    <w:next w:val="1"/>
    <w:unhideWhenUsed/>
    <w:qFormat/>
    <w:uiPriority w:val="39"/>
    <w:pPr>
      <w:widowControl w:val="0"/>
      <w:spacing w:line="240" w:lineRule="auto"/>
      <w:ind w:left="1680" w:leftChars="800"/>
    </w:pPr>
    <w:rPr>
      <w:rFonts w:asciiTheme="minorHAnsi" w:hAnsiTheme="minorHAnsi" w:eastAsiaTheme="minorEastAsia" w:cstheme="minorBidi"/>
      <w:sz w:val="21"/>
    </w:rPr>
  </w:style>
  <w:style w:type="paragraph" w:styleId="12">
    <w:name w:val="toc 3"/>
    <w:basedOn w:val="1"/>
    <w:next w:val="1"/>
    <w:unhideWhenUsed/>
    <w:uiPriority w:val="39"/>
    <w:pPr>
      <w:spacing w:line="480" w:lineRule="auto"/>
      <w:ind w:left="400" w:leftChars="400"/>
    </w:pPr>
  </w:style>
  <w:style w:type="paragraph" w:styleId="13">
    <w:name w:val="toc 8"/>
    <w:basedOn w:val="1"/>
    <w:next w:val="1"/>
    <w:unhideWhenUsed/>
    <w:qFormat/>
    <w:uiPriority w:val="39"/>
    <w:pPr>
      <w:widowControl w:val="0"/>
      <w:spacing w:line="240" w:lineRule="auto"/>
      <w:ind w:left="2940" w:leftChars="1400"/>
    </w:pPr>
    <w:rPr>
      <w:rFonts w:asciiTheme="minorHAnsi" w:hAnsiTheme="minorHAnsi" w:eastAsiaTheme="minorEastAsia" w:cstheme="minorBidi"/>
      <w:sz w:val="21"/>
    </w:rPr>
  </w:style>
  <w:style w:type="paragraph" w:styleId="14">
    <w:name w:val="Balloon Text"/>
    <w:basedOn w:val="1"/>
    <w:link w:val="4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5">
    <w:name w:val="footer"/>
    <w:basedOn w:val="1"/>
    <w:link w:val="42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6">
    <w:name w:val="header"/>
    <w:basedOn w:val="1"/>
    <w:link w:val="4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uiPriority w:val="39"/>
    <w:pPr>
      <w:spacing w:line="480" w:lineRule="auto"/>
    </w:pPr>
  </w:style>
  <w:style w:type="paragraph" w:styleId="18">
    <w:name w:val="toc 4"/>
    <w:basedOn w:val="1"/>
    <w:next w:val="1"/>
    <w:unhideWhenUsed/>
    <w:qFormat/>
    <w:uiPriority w:val="39"/>
    <w:pPr>
      <w:widowControl w:val="0"/>
      <w:spacing w:line="240" w:lineRule="auto"/>
      <w:ind w:left="1260" w:leftChars="600"/>
    </w:pPr>
    <w:rPr>
      <w:rFonts w:asciiTheme="minorHAnsi" w:hAnsiTheme="minorHAnsi" w:eastAsiaTheme="minorEastAsia" w:cstheme="minorBidi"/>
      <w:sz w:val="21"/>
    </w:rPr>
  </w:style>
  <w:style w:type="paragraph" w:styleId="19">
    <w:name w:val="toc 6"/>
    <w:basedOn w:val="1"/>
    <w:next w:val="1"/>
    <w:unhideWhenUsed/>
    <w:uiPriority w:val="39"/>
    <w:pPr>
      <w:widowControl w:val="0"/>
      <w:spacing w:line="240" w:lineRule="auto"/>
      <w:ind w:left="2100" w:leftChars="1000"/>
    </w:pPr>
    <w:rPr>
      <w:rFonts w:asciiTheme="minorHAnsi" w:hAnsiTheme="minorHAnsi" w:eastAsiaTheme="minorEastAsia" w:cstheme="minorBidi"/>
      <w:sz w:val="21"/>
    </w:rPr>
  </w:style>
  <w:style w:type="paragraph" w:styleId="20">
    <w:name w:val="table of figures"/>
    <w:basedOn w:val="1"/>
    <w:next w:val="1"/>
    <w:unhideWhenUsed/>
    <w:qFormat/>
    <w:uiPriority w:val="99"/>
  </w:style>
  <w:style w:type="paragraph" w:styleId="21">
    <w:name w:val="toc 2"/>
    <w:basedOn w:val="1"/>
    <w:next w:val="1"/>
    <w:unhideWhenUsed/>
    <w:qFormat/>
    <w:uiPriority w:val="39"/>
    <w:pPr>
      <w:spacing w:line="480" w:lineRule="auto"/>
      <w:ind w:left="200" w:leftChars="200"/>
    </w:pPr>
  </w:style>
  <w:style w:type="paragraph" w:styleId="22">
    <w:name w:val="toc 9"/>
    <w:basedOn w:val="1"/>
    <w:next w:val="1"/>
    <w:unhideWhenUsed/>
    <w:uiPriority w:val="39"/>
    <w:pPr>
      <w:widowControl w:val="0"/>
      <w:spacing w:line="240" w:lineRule="auto"/>
      <w:ind w:left="3360" w:leftChars="1600"/>
    </w:pPr>
    <w:rPr>
      <w:rFonts w:asciiTheme="minorHAnsi" w:hAnsiTheme="minorHAnsi" w:eastAsiaTheme="minorEastAsia" w:cstheme="minorBidi"/>
      <w:sz w:val="21"/>
    </w:rPr>
  </w:style>
  <w:style w:type="paragraph" w:styleId="23">
    <w:name w:val="annotation subject"/>
    <w:basedOn w:val="10"/>
    <w:next w:val="10"/>
    <w:link w:val="48"/>
    <w:semiHidden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Hyperlink"/>
    <w:basedOn w:val="2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6"/>
    <w:unhideWhenUsed/>
    <w:uiPriority w:val="99"/>
    <w:rPr>
      <w:sz w:val="21"/>
      <w:szCs w:val="21"/>
    </w:rPr>
  </w:style>
  <w:style w:type="character" w:customStyle="1" w:styleId="29">
    <w:name w:val="标题 1 字符"/>
    <w:link w:val="2"/>
    <w:uiPriority w:val="9"/>
    <w:rPr>
      <w:b/>
      <w:bCs/>
      <w:kern w:val="44"/>
      <w:sz w:val="28"/>
      <w:szCs w:val="44"/>
    </w:rPr>
  </w:style>
  <w:style w:type="character" w:customStyle="1" w:styleId="30">
    <w:name w:val="标题 2 字符"/>
    <w:link w:val="3"/>
    <w:uiPriority w:val="9"/>
    <w:rPr>
      <w:b/>
      <w:bCs/>
      <w:kern w:val="0"/>
      <w:szCs w:val="32"/>
    </w:rPr>
  </w:style>
  <w:style w:type="character" w:customStyle="1" w:styleId="31">
    <w:name w:val="标题 3 字符"/>
    <w:link w:val="4"/>
    <w:uiPriority w:val="9"/>
    <w:rPr>
      <w:b/>
      <w:bCs/>
      <w:kern w:val="0"/>
      <w:szCs w:val="32"/>
    </w:rPr>
  </w:style>
  <w:style w:type="character" w:customStyle="1" w:styleId="32">
    <w:name w:val="标题 4 字符"/>
    <w:basedOn w:val="26"/>
    <w:link w:val="5"/>
    <w:qFormat/>
    <w:uiPriority w:val="0"/>
    <w:rPr>
      <w:b/>
      <w:bCs/>
      <w:szCs w:val="28"/>
    </w:rPr>
  </w:style>
  <w:style w:type="character" w:customStyle="1" w:styleId="33">
    <w:name w:val="标题 5 字符"/>
    <w:basedOn w:val="26"/>
    <w:link w:val="6"/>
    <w:uiPriority w:val="9"/>
    <w:rPr>
      <w:b/>
      <w:bCs/>
      <w:szCs w:val="28"/>
    </w:rPr>
  </w:style>
  <w:style w:type="character" w:customStyle="1" w:styleId="34">
    <w:name w:val="font8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35">
    <w:name w:val="列出段落1"/>
    <w:basedOn w:val="1"/>
    <w:qFormat/>
    <w:uiPriority w:val="0"/>
    <w:pPr>
      <w:ind w:firstLine="420"/>
    </w:pPr>
  </w:style>
  <w:style w:type="paragraph" w:customStyle="1" w:styleId="36">
    <w:name w:val="列出段落4"/>
    <w:basedOn w:val="1"/>
    <w:qFormat/>
    <w:uiPriority w:val="99"/>
    <w:pPr>
      <w:ind w:firstLine="420"/>
    </w:pPr>
    <w:rPr>
      <w:rFonts w:ascii="Calibri" w:hAnsi="Calibri"/>
    </w:rPr>
  </w:style>
  <w:style w:type="paragraph" w:customStyle="1" w:styleId="37">
    <w:name w:val="列出段落2"/>
    <w:basedOn w:val="1"/>
    <w:unhideWhenUsed/>
    <w:qFormat/>
    <w:uiPriority w:val="99"/>
    <w:pPr>
      <w:ind w:firstLine="420"/>
    </w:pPr>
  </w:style>
  <w:style w:type="paragraph" w:customStyle="1" w:styleId="38">
    <w:name w:val="无间隔1"/>
    <w:qFormat/>
    <w:uiPriority w:val="1"/>
    <w:pPr>
      <w:widowControl w:val="0"/>
      <w:spacing w:line="360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39">
    <w:name w:val="题注 字符"/>
    <w:link w:val="8"/>
    <w:qFormat/>
    <w:uiPriority w:val="35"/>
    <w:rPr>
      <w:rFonts w:ascii="Arial" w:hAnsi="Arial" w:eastAsia="黑体" w:cs="Arial"/>
      <w:sz w:val="20"/>
      <w:szCs w:val="20"/>
    </w:rPr>
  </w:style>
  <w:style w:type="paragraph" w:customStyle="1" w:styleId="40">
    <w:name w:val="TOC Heading"/>
    <w:basedOn w:val="2"/>
    <w:next w:val="1"/>
    <w:qFormat/>
    <w:uiPriority w:val="39"/>
    <w:p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41">
    <w:name w:val="页眉 字符"/>
    <w:basedOn w:val="26"/>
    <w:link w:val="16"/>
    <w:uiPriority w:val="99"/>
    <w:rPr>
      <w:sz w:val="18"/>
      <w:szCs w:val="18"/>
    </w:rPr>
  </w:style>
  <w:style w:type="character" w:customStyle="1" w:styleId="42">
    <w:name w:val="页脚 字符"/>
    <w:basedOn w:val="26"/>
    <w:link w:val="15"/>
    <w:qFormat/>
    <w:uiPriority w:val="99"/>
    <w:rPr>
      <w:sz w:val="18"/>
      <w:szCs w:val="18"/>
    </w:rPr>
  </w:style>
  <w:style w:type="character" w:customStyle="1" w:styleId="43">
    <w:name w:val="批注框文本 字符"/>
    <w:basedOn w:val="26"/>
    <w:link w:val="14"/>
    <w:semiHidden/>
    <w:qFormat/>
    <w:uiPriority w:val="99"/>
    <w:rPr>
      <w:sz w:val="18"/>
      <w:szCs w:val="18"/>
    </w:rPr>
  </w:style>
  <w:style w:type="paragraph" w:customStyle="1" w:styleId="44">
    <w:name w:val="表格正文"/>
    <w:next w:val="1"/>
    <w:link w:val="45"/>
    <w:qFormat/>
    <w:uiPriority w:val="99"/>
    <w:pPr>
      <w:adjustRightInd w:val="0"/>
      <w:snapToGrid w:val="0"/>
      <w:spacing w:line="240" w:lineRule="auto"/>
      <w:jc w:val="center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character" w:customStyle="1" w:styleId="45">
    <w:name w:val="表格正文 Char"/>
    <w:link w:val="44"/>
    <w:qFormat/>
    <w:uiPriority w:val="99"/>
    <w:rPr>
      <w:kern w:val="0"/>
      <w:sz w:val="21"/>
      <w:szCs w:val="24"/>
    </w:rPr>
  </w:style>
  <w:style w:type="paragraph" w:styleId="46">
    <w:name w:val="List Paragraph"/>
    <w:basedOn w:val="1"/>
    <w:link w:val="52"/>
    <w:qFormat/>
    <w:uiPriority w:val="1"/>
    <w:pPr>
      <w:ind w:firstLine="420" w:firstLineChars="200"/>
    </w:pPr>
  </w:style>
  <w:style w:type="character" w:customStyle="1" w:styleId="47">
    <w:name w:val="批注文字 字符"/>
    <w:basedOn w:val="26"/>
    <w:link w:val="10"/>
    <w:semiHidden/>
    <w:uiPriority w:val="99"/>
  </w:style>
  <w:style w:type="character" w:customStyle="1" w:styleId="48">
    <w:name w:val="批注主题 字符"/>
    <w:basedOn w:val="47"/>
    <w:link w:val="23"/>
    <w:semiHidden/>
    <w:qFormat/>
    <w:uiPriority w:val="99"/>
    <w:rPr>
      <w:b/>
      <w:bCs/>
    </w:rPr>
  </w:style>
  <w:style w:type="paragraph" w:customStyle="1" w:styleId="49">
    <w:name w:val="Revision"/>
    <w:hidden/>
    <w:semiHidden/>
    <w:uiPriority w:val="99"/>
    <w:pPr>
      <w:spacing w:line="240" w:lineRule="auto"/>
      <w:jc w:val="left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50">
    <w:name w:val="Bullet"/>
    <w:basedOn w:val="1"/>
    <w:qFormat/>
    <w:uiPriority w:val="99"/>
    <w:pPr>
      <w:numPr>
        <w:ilvl w:val="0"/>
        <w:numId w:val="2"/>
      </w:numPr>
      <w:tabs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adjustRightInd w:val="0"/>
      <w:snapToGrid w:val="0"/>
      <w:spacing w:after="120" w:line="240" w:lineRule="exact"/>
      <w:ind w:firstLine="200" w:firstLineChars="200"/>
      <w:jc w:val="left"/>
    </w:pPr>
    <w:rPr>
      <w:rFonts w:ascii="Arial" w:hAnsi="Arial"/>
      <w:spacing w:val="-2"/>
      <w:kern w:val="0"/>
      <w:sz w:val="18"/>
      <w:szCs w:val="20"/>
      <w:lang w:eastAsia="ko-KR"/>
    </w:rPr>
  </w:style>
  <w:style w:type="character" w:customStyle="1" w:styleId="51">
    <w:name w:val="文档结构图 字符"/>
    <w:basedOn w:val="26"/>
    <w:link w:val="9"/>
    <w:semiHidden/>
    <w:qFormat/>
    <w:uiPriority w:val="99"/>
    <w:rPr>
      <w:rFonts w:ascii="宋体"/>
      <w:sz w:val="18"/>
      <w:szCs w:val="18"/>
    </w:rPr>
  </w:style>
  <w:style w:type="character" w:customStyle="1" w:styleId="52">
    <w:name w:val="列表段落 字符"/>
    <w:link w:val="46"/>
    <w:qFormat/>
    <w:uiPriority w:val="1"/>
  </w:style>
  <w:style w:type="character" w:customStyle="1" w:styleId="53">
    <w:name w:val="未处理的提及1"/>
    <w:basedOn w:val="2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4">
    <w:name w:val="Unresolved Mention"/>
    <w:basedOn w:val="2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emf"/><Relationship Id="rId15" Type="http://schemas.openxmlformats.org/officeDocument/2006/relationships/oleObject" Target="embeddings/oleObject4.bin"/><Relationship Id="rId14" Type="http://schemas.openxmlformats.org/officeDocument/2006/relationships/image" Target="media/image4.emf"/><Relationship Id="rId13" Type="http://schemas.openxmlformats.org/officeDocument/2006/relationships/oleObject" Target="embeddings/oleObject3.bin"/><Relationship Id="rId12" Type="http://schemas.openxmlformats.org/officeDocument/2006/relationships/image" Target="media/image3.emf"/><Relationship Id="rId11" Type="http://schemas.openxmlformats.org/officeDocument/2006/relationships/oleObject" Target="embeddings/oleObject2.bin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占位符1</b:Tag>
    <b:SourceType>Book</b:SourceType>
    <b:Guid>{D7AF7D5B-1AF8-46F3-BF9B-14EC497C879F}</b:Guid>
    <b:RefOrder>1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60D303-EDCD-4194-8189-3CA06F6E68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342</Words>
  <Characters>1955</Characters>
  <Lines>16</Lines>
  <Paragraphs>4</Paragraphs>
  <TotalTime>15</TotalTime>
  <ScaleCrop>false</ScaleCrop>
  <LinksUpToDate>false</LinksUpToDate>
  <CharactersWithSpaces>2293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2019-04-19T02:34:00Z</dcterms:created>
  <dc:creator>方杭杰</dc:creator>
  <cp:lastModifiedBy>Jerseys</cp:lastModifiedBy>
  <cp:lastPrinted>2019-03-27T07:56:00Z</cp:lastPrinted>
  <dcterms:modified xsi:type="dcterms:W3CDTF">2021-12-17T01:45:14Z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863F999223B9462AA0443034AE83C12F</vt:lpwstr>
  </property>
</Properties>
</file>